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27AF" w14:textId="77777777" w:rsidR="00641811" w:rsidRPr="00641811" w:rsidRDefault="00641811" w:rsidP="00681E98">
      <w:pPr>
        <w:spacing w:line="240" w:lineRule="auto"/>
        <w:ind w:left="720" w:right="288"/>
        <w:rPr>
          <w:rFonts w:ascii="Comic Sans MS" w:hAnsi="Comic Sans MS"/>
          <w:bCs/>
          <w:sz w:val="4"/>
          <w:szCs w:val="4"/>
        </w:rPr>
      </w:pPr>
    </w:p>
    <w:p w14:paraId="1A20BD1F" w14:textId="264B259C" w:rsidR="00B43F49" w:rsidRPr="00841609" w:rsidRDefault="00B43F49" w:rsidP="00B43F49">
      <w:pPr>
        <w:shd w:val="clear" w:color="auto" w:fill="FFFFFF"/>
        <w:spacing w:line="240" w:lineRule="auto"/>
        <w:ind w:left="720" w:right="288"/>
        <w:textAlignment w:val="baseline"/>
        <w:rPr>
          <w:rFonts w:ascii="Arial" w:eastAsia="Times New Roman" w:hAnsi="Arial" w:cs="Arial"/>
          <w:b/>
          <w:color w:val="0070C0"/>
          <w:sz w:val="28"/>
          <w:szCs w:val="28"/>
        </w:rPr>
      </w:pPr>
      <w:r w:rsidRPr="00E00574">
        <w:rPr>
          <w:rFonts w:ascii="Arial" w:eastAsia="Times New Roman" w:hAnsi="Arial" w:cs="Arial"/>
          <w:b/>
          <w:color w:val="0070C0"/>
          <w:sz w:val="32"/>
          <w:szCs w:val="32"/>
          <w:lang w:bidi="es-419"/>
        </w:rPr>
        <w:t>1.</w:t>
      </w:r>
      <w:r w:rsidR="00B83ABD">
        <w:rPr>
          <w:rFonts w:ascii="Arial" w:eastAsia="Times New Roman" w:hAnsi="Arial" w:cs="Arial"/>
          <w:b/>
          <w:color w:val="0070C0"/>
          <w:sz w:val="28"/>
          <w:szCs w:val="28"/>
          <w:lang w:bidi="es-419"/>
        </w:rPr>
        <w:t xml:space="preserve">  Es seguro para los inmigrantes buscar ayuda</w:t>
      </w:r>
    </w:p>
    <w:p w14:paraId="75040076" w14:textId="276DDD23" w:rsidR="00B43F49" w:rsidRPr="0022546F" w:rsidRDefault="00B43F49" w:rsidP="00B43F49">
      <w:pPr>
        <w:pStyle w:val="NormalWeb"/>
        <w:shd w:val="clear" w:color="auto" w:fill="FFFFFF"/>
        <w:spacing w:before="0" w:beforeAutospacing="0" w:after="200" w:afterAutospacing="0"/>
        <w:ind w:left="720" w:right="288"/>
        <w:rPr>
          <w:rFonts w:ascii="Arial" w:hAnsi="Arial" w:cs="Arial"/>
          <w:b/>
          <w:sz w:val="26"/>
          <w:szCs w:val="26"/>
        </w:rPr>
      </w:pPr>
      <w:r w:rsidRPr="001978CE">
        <w:rPr>
          <w:rFonts w:ascii="Arial" w:eastAsia="Arial" w:hAnsi="Arial" w:cs="Arial"/>
          <w:color w:val="000000"/>
          <w:sz w:val="26"/>
          <w:szCs w:val="26"/>
          <w:lang w:bidi="es-419"/>
        </w:rPr>
        <w:t xml:space="preserve">El presidente Biden extendió la </w:t>
      </w:r>
      <w:hyperlink r:id="rId7" w:history="1">
        <w:r w:rsidRPr="001978CE">
          <w:rPr>
            <w:rStyle w:val="Hyperlink"/>
            <w:rFonts w:ascii="Arial" w:eastAsia="Arial" w:hAnsi="Arial" w:cs="Arial"/>
            <w:b/>
            <w:sz w:val="26"/>
            <w:szCs w:val="26"/>
            <w:lang w:bidi="es-419"/>
          </w:rPr>
          <w:t>Política Nacional de Zonas Protegidas</w:t>
        </w:r>
      </w:hyperlink>
      <w:r w:rsidRPr="001978CE">
        <w:rPr>
          <w:rFonts w:ascii="Arial" w:eastAsia="Arial" w:hAnsi="Arial" w:cs="Arial"/>
          <w:color w:val="000000"/>
          <w:sz w:val="26"/>
          <w:szCs w:val="26"/>
          <w:lang w:bidi="es-419"/>
        </w:rPr>
        <w:t>, la cual establece que los agentes de inmigración no deberán arrestar ni intimidar a las personas que estén en lugares donde se brinda socorro en caso de catástrofe, ni cerca de estos</w:t>
      </w:r>
      <w:r w:rsidR="005616A3" w:rsidRPr="008B6331">
        <w:rPr>
          <w:rFonts w:ascii="Arial" w:eastAsia="Arial" w:hAnsi="Arial" w:cs="Arial"/>
          <w:b/>
          <w:color w:val="000000" w:themeColor="text1"/>
          <w:sz w:val="26"/>
          <w:szCs w:val="26"/>
          <w:lang w:bidi="es-419"/>
        </w:rPr>
        <w:t>: refugios en situaciones de emergencia, centros de asistencia, lugares en rutas de evacuación (como los puestos de control fronterizos) o donde se esté realizando una reunificación familiar</w:t>
      </w:r>
      <w:r w:rsidRPr="001978CE">
        <w:rPr>
          <w:rFonts w:ascii="Arial" w:eastAsia="Arial" w:hAnsi="Arial" w:cs="Arial"/>
          <w:color w:val="000000"/>
          <w:sz w:val="26"/>
          <w:szCs w:val="26"/>
          <w:lang w:bidi="es-419"/>
        </w:rPr>
        <w:t>.</w:t>
      </w:r>
      <w:r w:rsidR="005616A3" w:rsidRPr="008B6331">
        <w:rPr>
          <w:rFonts w:ascii="Arial" w:eastAsia="Arial" w:hAnsi="Arial" w:cs="Arial"/>
          <w:b/>
          <w:color w:val="000000" w:themeColor="text1"/>
          <w:sz w:val="26"/>
          <w:szCs w:val="26"/>
          <w:lang w:bidi="es-419"/>
        </w:rPr>
        <w:t xml:space="preserve">   </w:t>
      </w:r>
    </w:p>
    <w:p w14:paraId="3592A388" w14:textId="29A1277C" w:rsidR="00B43F49" w:rsidRDefault="008B022C" w:rsidP="00B43F49">
      <w:pPr>
        <w:pStyle w:val="NormalWeb"/>
        <w:shd w:val="clear" w:color="auto" w:fill="FFFFFF"/>
        <w:spacing w:before="0" w:beforeAutospacing="0" w:after="200" w:afterAutospacing="0"/>
        <w:ind w:left="720" w:right="288"/>
        <w:rPr>
          <w:rFonts w:ascii="Arial" w:hAnsi="Arial" w:cs="Arial"/>
          <w:sz w:val="26"/>
          <w:szCs w:val="26"/>
        </w:rPr>
      </w:pPr>
      <w:r w:rsidRPr="008B022C">
        <w:rPr>
          <w:rFonts w:ascii="Arial" w:eastAsia="Arial" w:hAnsi="Arial" w:cs="Arial"/>
          <w:color w:val="080808"/>
          <w:sz w:val="32"/>
          <w:szCs w:val="32"/>
          <w:shd w:val="clear" w:color="auto" w:fill="FFFFFF"/>
          <w:lang w:bidi="es-419"/>
        </w:rPr>
        <w:t>*</w:t>
      </w:r>
      <w:r w:rsidR="00B43F49">
        <w:rPr>
          <w:rFonts w:ascii="Arial" w:eastAsia="Arial" w:hAnsi="Arial" w:cs="Arial"/>
          <w:sz w:val="26"/>
          <w:szCs w:val="26"/>
          <w:lang w:bidi="es-419"/>
        </w:rPr>
        <w:t xml:space="preserve">Consulte la página 2 para más información sobre </w:t>
      </w:r>
      <w:r w:rsidR="00B43F49" w:rsidRPr="00B43F49">
        <w:rPr>
          <w:rFonts w:ascii="Arial" w:eastAsia="Arial" w:hAnsi="Arial" w:cs="Arial"/>
          <w:b/>
          <w:sz w:val="26"/>
          <w:szCs w:val="26"/>
          <w:lang w:bidi="es-419"/>
        </w:rPr>
        <w:t>zonas protegidas</w:t>
      </w:r>
      <w:r w:rsidRPr="008B022C">
        <w:rPr>
          <w:rFonts w:ascii="Arial" w:eastAsia="Arial" w:hAnsi="Arial" w:cs="Arial"/>
          <w:color w:val="080808"/>
          <w:sz w:val="32"/>
          <w:szCs w:val="32"/>
          <w:shd w:val="clear" w:color="auto" w:fill="FFFFFF"/>
          <w:lang w:bidi="es-419"/>
        </w:rPr>
        <w:t>.</w:t>
      </w:r>
    </w:p>
    <w:p w14:paraId="18F4A302" w14:textId="77777777" w:rsidR="00B43F49" w:rsidRPr="00E00574" w:rsidRDefault="00B43F49" w:rsidP="00A37579">
      <w:pPr>
        <w:spacing w:line="240" w:lineRule="auto"/>
        <w:ind w:left="720" w:right="288"/>
        <w:rPr>
          <w:rFonts w:ascii="Arial" w:hAnsi="Arial" w:cs="Arial"/>
          <w:b/>
          <w:color w:val="0070C0"/>
          <w:sz w:val="16"/>
          <w:szCs w:val="16"/>
        </w:rPr>
      </w:pPr>
    </w:p>
    <w:p w14:paraId="5DD68C72" w14:textId="71B669B5" w:rsidR="00153626" w:rsidRPr="00841609" w:rsidRDefault="00153626" w:rsidP="00A37579">
      <w:pPr>
        <w:spacing w:line="240" w:lineRule="auto"/>
        <w:ind w:left="720" w:right="288"/>
        <w:rPr>
          <w:rFonts w:ascii="Arial" w:hAnsi="Arial" w:cs="Arial"/>
          <w:b/>
          <w:color w:val="0070C0"/>
          <w:sz w:val="28"/>
          <w:szCs w:val="28"/>
        </w:rPr>
      </w:pPr>
      <w:r w:rsidRPr="00E00574">
        <w:rPr>
          <w:rFonts w:ascii="Arial" w:eastAsia="Arial" w:hAnsi="Arial" w:cs="Arial"/>
          <w:b/>
          <w:color w:val="0070C0"/>
          <w:sz w:val="32"/>
          <w:szCs w:val="32"/>
          <w:lang w:bidi="es-419"/>
        </w:rPr>
        <w:t>2.</w:t>
      </w:r>
      <w:r w:rsidR="00D95E06" w:rsidRPr="00841609">
        <w:rPr>
          <w:rFonts w:ascii="Arial" w:eastAsia="Arial" w:hAnsi="Arial" w:cs="Arial"/>
          <w:b/>
          <w:color w:val="0070C0"/>
          <w:sz w:val="28"/>
          <w:szCs w:val="28"/>
          <w:lang w:bidi="es-419"/>
        </w:rPr>
        <w:t xml:space="preserve">  Todas las personas tienen derecho a recibir socorro en casos de catástrofe</w:t>
      </w:r>
    </w:p>
    <w:p w14:paraId="0AD6D2C0" w14:textId="4D403DFD" w:rsidR="00153626" w:rsidRPr="001978CE" w:rsidRDefault="00153626" w:rsidP="00A37579">
      <w:pPr>
        <w:shd w:val="clear" w:color="auto" w:fill="FFFFFF"/>
        <w:spacing w:line="240" w:lineRule="auto"/>
        <w:ind w:left="720" w:right="288"/>
        <w:textAlignment w:val="baseline"/>
        <w:rPr>
          <w:rStyle w:val="Hyperlink"/>
          <w:rFonts w:ascii="Arial" w:hAnsi="Arial" w:cs="Arial"/>
          <w:sz w:val="26"/>
          <w:szCs w:val="26"/>
        </w:rPr>
      </w:pPr>
      <w:r w:rsidRPr="001978CE">
        <w:rPr>
          <w:rFonts w:ascii="Arial" w:eastAsia="Arial" w:hAnsi="Arial" w:cs="Arial"/>
          <w:sz w:val="26"/>
          <w:szCs w:val="26"/>
          <w:lang w:bidi="es-419"/>
        </w:rPr>
        <w:t xml:space="preserve">El derecho a la ayuda se basa en las necesidades relacionadas con la catástrofe, no en la situación </w:t>
      </w:r>
      <w:r w:rsidR="00A375A6">
        <w:rPr>
          <w:rFonts w:ascii="Arial" w:eastAsia="Arial" w:hAnsi="Arial" w:cs="Arial"/>
          <w:sz w:val="26"/>
          <w:szCs w:val="26"/>
          <w:lang w:bidi="es-419"/>
        </w:rPr>
        <w:t xml:space="preserve">migratoria ni en los ingresos. </w:t>
      </w:r>
      <w:r w:rsidRPr="001978CE">
        <w:rPr>
          <w:rFonts w:ascii="Arial" w:eastAsia="Arial" w:hAnsi="Arial" w:cs="Arial"/>
          <w:sz w:val="26"/>
          <w:szCs w:val="26"/>
          <w:lang w:bidi="es-419"/>
        </w:rPr>
        <w:t>Todas las personas tienen derecho a recibir socorro de emer</w:t>
      </w:r>
      <w:r w:rsidR="00A375A6">
        <w:rPr>
          <w:rFonts w:ascii="Arial" w:eastAsia="Arial" w:hAnsi="Arial" w:cs="Arial"/>
          <w:sz w:val="26"/>
          <w:szCs w:val="26"/>
          <w:lang w:bidi="es-419"/>
        </w:rPr>
        <w:t xml:space="preserve">gencia no monetario inmediato. </w:t>
      </w:r>
      <w:r w:rsidRPr="001978CE">
        <w:rPr>
          <w:rFonts w:ascii="Arial" w:eastAsia="Arial" w:hAnsi="Arial" w:cs="Arial"/>
          <w:sz w:val="26"/>
          <w:szCs w:val="26"/>
          <w:lang w:bidi="es-419"/>
        </w:rPr>
        <w:t>El derecho para acceder a algunos programas gubernamentales de plazos mayores puede requerir al menos un ciudadano o in</w:t>
      </w:r>
      <w:r w:rsidR="00A375A6">
        <w:rPr>
          <w:rFonts w:ascii="Arial" w:eastAsia="Arial" w:hAnsi="Arial" w:cs="Arial"/>
          <w:sz w:val="26"/>
          <w:szCs w:val="26"/>
          <w:lang w:bidi="es-419"/>
        </w:rPr>
        <w:t xml:space="preserve">migrante elegible en el hogar. </w:t>
      </w:r>
      <w:r w:rsidRPr="001978CE">
        <w:rPr>
          <w:rFonts w:ascii="Arial" w:eastAsia="Arial" w:hAnsi="Arial" w:cs="Arial"/>
          <w:sz w:val="26"/>
          <w:szCs w:val="26"/>
          <w:lang w:bidi="es-419"/>
        </w:rPr>
        <w:t xml:space="preserve">Sin embargo, todos los inmigrantes deben sentirse seguros de pedir la ayuda que necesitan a las organizaciones de respuesta sin ánimo de lucro o religiosas.   </w:t>
      </w:r>
    </w:p>
    <w:p w14:paraId="6A897CF9" w14:textId="3CC94C46" w:rsidR="00153626" w:rsidRPr="00841609" w:rsidRDefault="00153626" w:rsidP="00725AE8">
      <w:pPr>
        <w:spacing w:line="240" w:lineRule="auto"/>
        <w:ind w:left="720" w:right="288"/>
        <w:rPr>
          <w:rStyle w:val="Hyperlink"/>
          <w:rFonts w:ascii="Arial" w:hAnsi="Arial" w:cs="Arial"/>
          <w:sz w:val="20"/>
          <w:szCs w:val="20"/>
        </w:rPr>
      </w:pPr>
      <w:r w:rsidRPr="001978CE">
        <w:rPr>
          <w:rFonts w:ascii="Arial" w:eastAsia="Arial" w:hAnsi="Arial" w:cs="Arial"/>
          <w:color w:val="222222"/>
          <w:sz w:val="26"/>
          <w:szCs w:val="26"/>
          <w:shd w:val="clear" w:color="auto" w:fill="FFFFFF"/>
          <w:lang w:bidi="es-419"/>
        </w:rPr>
        <w:t xml:space="preserve">La ley del estado de California </w:t>
      </w:r>
      <w:r w:rsidRPr="001978CE">
        <w:rPr>
          <w:rFonts w:ascii="Arial" w:eastAsia="Arial" w:hAnsi="Arial" w:cs="Arial"/>
          <w:sz w:val="26"/>
          <w:szCs w:val="26"/>
          <w:lang w:bidi="es-419"/>
        </w:rPr>
        <w:t>(</w:t>
      </w:r>
      <w:hyperlink r:id="rId8" w:history="1">
        <w:r w:rsidRPr="001978CE">
          <w:rPr>
            <w:rStyle w:val="Hyperlink"/>
            <w:rFonts w:ascii="Arial" w:eastAsia="Arial" w:hAnsi="Arial" w:cs="Arial"/>
            <w:sz w:val="26"/>
            <w:szCs w:val="26"/>
            <w:lang w:bidi="es-419"/>
          </w:rPr>
          <w:t>SB 2327</w:t>
        </w:r>
      </w:hyperlink>
      <w:r w:rsidRPr="001978CE">
        <w:rPr>
          <w:rFonts w:ascii="Arial" w:eastAsia="Arial" w:hAnsi="Arial" w:cs="Arial"/>
          <w:sz w:val="26"/>
          <w:szCs w:val="26"/>
          <w:lang w:bidi="es-419"/>
        </w:rPr>
        <w:t xml:space="preserve">) </w:t>
      </w:r>
      <w:r w:rsidRPr="001978CE">
        <w:rPr>
          <w:rFonts w:ascii="Arial" w:eastAsia="Arial" w:hAnsi="Arial" w:cs="Arial"/>
          <w:color w:val="222222"/>
          <w:sz w:val="26"/>
          <w:szCs w:val="26"/>
          <w:shd w:val="clear" w:color="auto" w:fill="FFFFFF"/>
          <w:lang w:bidi="es-419"/>
        </w:rPr>
        <w:t>prohíbe que los trabajadores de socorro en casos de catástrofe pidan documentos innecesarios o pregunten sobre la situación migratoria de una persona. A nadie</w:t>
      </w:r>
      <w:r w:rsidRPr="001978CE">
        <w:rPr>
          <w:rFonts w:ascii="Arial" w:eastAsia="Arial" w:hAnsi="Arial" w:cs="Arial"/>
          <w:sz w:val="26"/>
          <w:szCs w:val="26"/>
          <w:lang w:bidi="es-419"/>
        </w:rPr>
        <w:t xml:space="preserve"> se le debe negar asistencia de emergencia debido a la falta de documentos personales, los cuales pueden haberse perdido o destruido en una catástrofe.</w:t>
      </w:r>
    </w:p>
    <w:p w14:paraId="66DB25A8" w14:textId="77777777" w:rsidR="00B43F49" w:rsidRPr="0022546F" w:rsidRDefault="00B43F49" w:rsidP="0029319B">
      <w:pPr>
        <w:pStyle w:val="NormalWeb"/>
        <w:shd w:val="clear" w:color="auto" w:fill="FFFFFF"/>
        <w:spacing w:before="0" w:beforeAutospacing="0" w:after="200" w:afterAutospacing="0"/>
        <w:ind w:left="720" w:right="288"/>
        <w:rPr>
          <w:rFonts w:ascii="Arial" w:hAnsi="Arial" w:cs="Arial"/>
          <w:color w:val="000000"/>
          <w:sz w:val="16"/>
          <w:szCs w:val="16"/>
        </w:rPr>
      </w:pPr>
      <w:bookmarkStart w:id="0" w:name="_Hlk121842484"/>
    </w:p>
    <w:bookmarkEnd w:id="0"/>
    <w:p w14:paraId="18982493" w14:textId="77EA9D08" w:rsidR="002F5CAB" w:rsidRPr="00841609" w:rsidRDefault="002F5CAB" w:rsidP="002F5CAB">
      <w:pPr>
        <w:shd w:val="clear" w:color="auto" w:fill="FFFFFF"/>
        <w:spacing w:line="240" w:lineRule="auto"/>
        <w:ind w:left="720" w:right="288"/>
        <w:textAlignment w:val="baseline"/>
        <w:rPr>
          <w:rFonts w:ascii="Arial" w:eastAsia="Times New Roman" w:hAnsi="Arial" w:cs="Arial"/>
          <w:b/>
          <w:color w:val="0070C0"/>
          <w:sz w:val="28"/>
          <w:szCs w:val="28"/>
        </w:rPr>
      </w:pPr>
      <w:r w:rsidRPr="00E00574">
        <w:rPr>
          <w:rFonts w:ascii="Arial" w:eastAsia="Times New Roman" w:hAnsi="Arial" w:cs="Arial"/>
          <w:b/>
          <w:color w:val="0070C0"/>
          <w:sz w:val="28"/>
          <w:szCs w:val="28"/>
          <w:lang w:bidi="es-419"/>
        </w:rPr>
        <w:t>3.  El hecho de aceptar asistencia en casos de catástrofe no afectará su situación migratoria</w:t>
      </w:r>
    </w:p>
    <w:p w14:paraId="1FBFE7E8" w14:textId="770EE95C" w:rsidR="002F5CAB" w:rsidRPr="0022546F" w:rsidRDefault="002F5CAB" w:rsidP="002F5CAB">
      <w:pPr>
        <w:spacing w:line="240" w:lineRule="auto"/>
        <w:ind w:left="720" w:right="288"/>
        <w:rPr>
          <w:rFonts w:ascii="Arial" w:hAnsi="Arial" w:cs="Arial"/>
          <w:b/>
          <w:sz w:val="26"/>
          <w:szCs w:val="26"/>
        </w:rPr>
      </w:pPr>
      <w:r w:rsidRPr="001978CE">
        <w:rPr>
          <w:rFonts w:ascii="Arial" w:eastAsia="Arial" w:hAnsi="Arial" w:cs="Arial"/>
          <w:sz w:val="26"/>
          <w:szCs w:val="26"/>
          <w:lang w:bidi="es-419"/>
        </w:rPr>
        <w:t>A los inmigrantes quizás les preocupe que aceptar asistencia en caso de catástrofe afecte su situación migr</w:t>
      </w:r>
      <w:r w:rsidR="00A375A6">
        <w:rPr>
          <w:rFonts w:ascii="Arial" w:eastAsia="Arial" w:hAnsi="Arial" w:cs="Arial"/>
          <w:sz w:val="26"/>
          <w:szCs w:val="26"/>
          <w:lang w:bidi="es-419"/>
        </w:rPr>
        <w:t xml:space="preserve">atoria. Esto no es cierto. </w:t>
      </w:r>
      <w:r w:rsidRPr="001978CE">
        <w:rPr>
          <w:rFonts w:ascii="Arial" w:eastAsia="Arial" w:hAnsi="Arial" w:cs="Arial"/>
          <w:sz w:val="26"/>
          <w:szCs w:val="26"/>
          <w:lang w:bidi="es-419"/>
        </w:rPr>
        <w:t xml:space="preserve">La </w:t>
      </w:r>
      <w:hyperlink r:id="rId9" w:history="1">
        <w:r w:rsidR="007A7853" w:rsidRPr="0022546F">
          <w:rPr>
            <w:rStyle w:val="Hyperlink"/>
            <w:rFonts w:ascii="Arial" w:eastAsia="Arial" w:hAnsi="Arial" w:cs="Arial"/>
            <w:b/>
            <w:color w:val="4472C4" w:themeColor="accent1"/>
            <w:sz w:val="26"/>
            <w:szCs w:val="26"/>
            <w:lang w:bidi="es-419"/>
          </w:rPr>
          <w:t>Regla de Carga Pública</w:t>
        </w:r>
      </w:hyperlink>
      <w:r w:rsidR="007A7853" w:rsidRPr="00C20D19">
        <w:rPr>
          <w:rFonts w:ascii="Arial" w:eastAsia="Arial" w:hAnsi="Arial" w:cs="Arial"/>
          <w:sz w:val="26"/>
          <w:szCs w:val="26"/>
          <w:lang w:bidi="es-419"/>
        </w:rPr>
        <w:t xml:space="preserve"> (</w:t>
      </w:r>
      <w:r w:rsidR="007A7853" w:rsidRPr="0007699A">
        <w:rPr>
          <w:rFonts w:ascii="Arial" w:eastAsia="Arial" w:hAnsi="Arial" w:cs="Arial"/>
          <w:lang w:bidi="es-419"/>
        </w:rPr>
        <w:t>diciembre de 2022</w:t>
      </w:r>
      <w:r w:rsidR="007A7853" w:rsidRPr="00C20D19">
        <w:rPr>
          <w:rFonts w:ascii="Arial" w:eastAsia="Arial" w:hAnsi="Arial" w:cs="Arial"/>
          <w:sz w:val="26"/>
          <w:szCs w:val="26"/>
          <w:lang w:bidi="es-419"/>
        </w:rPr>
        <w:t xml:space="preserve">) confirma que la asistencia en caso de catástrofe no será considerada en la prueba de carga pública cuando una persona solicite la tarjeta de residente permanente. Esta lista de servicios seguros de usar de carga pública (consulte la página 2**) también incluye otros beneficios y servicios no relacionados con catástrofes que tampoco serán considerados, tales como alimentos, atención médica, seguros, programas para niños, actividades religiosas, educación y otros.  </w:t>
      </w:r>
      <w:r w:rsidRPr="0022546F">
        <w:rPr>
          <w:rFonts w:ascii="Arial" w:eastAsia="Arial" w:hAnsi="Arial" w:cs="Arial"/>
          <w:b/>
          <w:sz w:val="26"/>
          <w:szCs w:val="26"/>
          <w:lang w:bidi="es-419"/>
        </w:rPr>
        <w:t>La asistencia de socorro en caso de catástrofe es gratis y no exige devolución</w:t>
      </w:r>
      <w:r w:rsidR="007A7853" w:rsidRPr="0007699A">
        <w:rPr>
          <w:rFonts w:ascii="Arial" w:eastAsia="Arial" w:hAnsi="Arial" w:cs="Arial"/>
          <w:lang w:bidi="es-419"/>
        </w:rPr>
        <w:t>.</w:t>
      </w:r>
    </w:p>
    <w:p w14:paraId="7E747285" w14:textId="5E88E5FB" w:rsidR="00725AE8" w:rsidRDefault="00725AE8" w:rsidP="00725AE8">
      <w:pPr>
        <w:spacing w:line="240" w:lineRule="auto"/>
        <w:ind w:left="720" w:right="288"/>
        <w:rPr>
          <w:rFonts w:ascii="Arial" w:hAnsi="Arial" w:cs="Arial"/>
          <w:bCs/>
          <w:color w:val="C00000"/>
          <w:sz w:val="16"/>
          <w:szCs w:val="16"/>
        </w:rPr>
      </w:pPr>
    </w:p>
    <w:p w14:paraId="44EBB416" w14:textId="21688B08" w:rsidR="008A020E" w:rsidRDefault="008A020E" w:rsidP="00725AE8">
      <w:pPr>
        <w:spacing w:line="240" w:lineRule="auto"/>
        <w:ind w:left="720" w:right="288"/>
        <w:rPr>
          <w:rFonts w:ascii="Arial" w:hAnsi="Arial" w:cs="Arial"/>
          <w:bCs/>
          <w:color w:val="C00000"/>
          <w:sz w:val="16"/>
          <w:szCs w:val="16"/>
        </w:rPr>
      </w:pPr>
    </w:p>
    <w:p w14:paraId="42AA7FFB" w14:textId="77777777" w:rsidR="008A020E" w:rsidRPr="0022546F" w:rsidRDefault="008A020E" w:rsidP="00725AE8">
      <w:pPr>
        <w:spacing w:line="240" w:lineRule="auto"/>
        <w:ind w:left="720" w:right="288"/>
        <w:rPr>
          <w:rFonts w:ascii="Arial" w:hAnsi="Arial" w:cs="Arial"/>
          <w:bCs/>
          <w:color w:val="C00000"/>
          <w:sz w:val="16"/>
          <w:szCs w:val="16"/>
        </w:rPr>
      </w:pPr>
    </w:p>
    <w:p w14:paraId="259F8F4C" w14:textId="64B29191" w:rsidR="00153626" w:rsidRPr="00841609" w:rsidRDefault="00153626" w:rsidP="00272DB5">
      <w:pPr>
        <w:shd w:val="clear" w:color="auto" w:fill="FFFFFF"/>
        <w:spacing w:after="120" w:line="240" w:lineRule="auto"/>
        <w:ind w:left="720" w:right="288"/>
        <w:textAlignment w:val="baseline"/>
        <w:rPr>
          <w:rFonts w:ascii="Arial" w:eastAsia="Times New Roman" w:hAnsi="Arial" w:cs="Arial"/>
          <w:b/>
          <w:color w:val="0070C0"/>
          <w:sz w:val="28"/>
          <w:szCs w:val="28"/>
        </w:rPr>
      </w:pPr>
      <w:r w:rsidRPr="00841609">
        <w:rPr>
          <w:rFonts w:ascii="Arial" w:eastAsia="Arial" w:hAnsi="Arial" w:cs="Arial"/>
          <w:b/>
          <w:color w:val="0070C0"/>
          <w:sz w:val="32"/>
          <w:szCs w:val="32"/>
          <w:lang w:bidi="es-419"/>
        </w:rPr>
        <w:lastRenderedPageBreak/>
        <w:t xml:space="preserve">4.  </w:t>
      </w:r>
      <w:r w:rsidRPr="00841609">
        <w:rPr>
          <w:rFonts w:ascii="Arial" w:eastAsia="Times New Roman" w:hAnsi="Arial" w:cs="Arial"/>
          <w:b/>
          <w:color w:val="0070C0"/>
          <w:sz w:val="28"/>
          <w:szCs w:val="28"/>
          <w:lang w:bidi="es-419"/>
        </w:rPr>
        <w:t>Todas las personas tienen derechos. Comunique sus inquietudes</w:t>
      </w:r>
    </w:p>
    <w:p w14:paraId="26967E18" w14:textId="158196E1" w:rsidR="0065567D" w:rsidRPr="0022546F" w:rsidRDefault="0065567D" w:rsidP="0065567D">
      <w:pPr>
        <w:ind w:left="720"/>
        <w:rPr>
          <w:rFonts w:ascii="Arial" w:hAnsi="Arial" w:cs="Arial"/>
          <w:sz w:val="24"/>
          <w:szCs w:val="24"/>
        </w:rPr>
      </w:pPr>
      <w:r w:rsidRPr="0022546F">
        <w:rPr>
          <w:rFonts w:ascii="Arial" w:eastAsia="Arial" w:hAnsi="Arial" w:cs="Arial"/>
          <w:sz w:val="24"/>
          <w:szCs w:val="24"/>
          <w:lang w:bidi="es-419"/>
        </w:rPr>
        <w:t>Todas las personas tienen derecho a recibir información y asistencia de emergencia en un idioma que puedan entender y en u</w:t>
      </w:r>
      <w:r w:rsidR="00A375A6">
        <w:rPr>
          <w:rFonts w:ascii="Arial" w:eastAsia="Arial" w:hAnsi="Arial" w:cs="Arial"/>
          <w:sz w:val="24"/>
          <w:szCs w:val="24"/>
          <w:lang w:bidi="es-419"/>
        </w:rPr>
        <w:t xml:space="preserve">n lugar al que puedan acceder. </w:t>
      </w:r>
      <w:r w:rsidRPr="0022546F">
        <w:rPr>
          <w:rFonts w:ascii="Arial" w:eastAsia="Arial" w:hAnsi="Arial" w:cs="Arial"/>
          <w:sz w:val="24"/>
          <w:szCs w:val="24"/>
          <w:lang w:bidi="es-419"/>
        </w:rPr>
        <w:t>Los defensores y proveedores de servicios pueden educarse a sí mismos y a sus comunidades sobre los derechos de los inmigrantes antes</w:t>
      </w:r>
      <w:r w:rsidR="00A375A6">
        <w:rPr>
          <w:rFonts w:ascii="Arial" w:eastAsia="Arial" w:hAnsi="Arial" w:cs="Arial"/>
          <w:sz w:val="24"/>
          <w:szCs w:val="24"/>
          <w:lang w:bidi="es-419"/>
        </w:rPr>
        <w:t xml:space="preserve"> de que ocurra una catástrofe. </w:t>
      </w:r>
      <w:r w:rsidRPr="0022546F">
        <w:rPr>
          <w:rFonts w:ascii="Arial" w:eastAsia="Arial" w:hAnsi="Arial" w:cs="Arial"/>
          <w:sz w:val="24"/>
          <w:szCs w:val="24"/>
          <w:lang w:bidi="es-419"/>
        </w:rPr>
        <w:t>Pueden ayudar a identificar y r</w:t>
      </w:r>
      <w:r w:rsidR="00A375A6">
        <w:rPr>
          <w:rFonts w:ascii="Arial" w:eastAsia="Arial" w:hAnsi="Arial" w:cs="Arial"/>
          <w:sz w:val="24"/>
          <w:szCs w:val="24"/>
          <w:lang w:bidi="es-419"/>
        </w:rPr>
        <w:t xml:space="preserve">educir las barreras de acceso. </w:t>
      </w:r>
      <w:r w:rsidRPr="0022546F">
        <w:rPr>
          <w:rFonts w:ascii="Arial" w:eastAsia="Arial" w:hAnsi="Arial" w:cs="Arial"/>
          <w:sz w:val="24"/>
          <w:szCs w:val="24"/>
          <w:lang w:bidi="es-419"/>
        </w:rPr>
        <w:t xml:space="preserve">Luego, pueden asegurarse de que las personas obtengan la información correcta y el apoyo necesario para solicitar asistencia con éxito.  </w:t>
      </w:r>
    </w:p>
    <w:p w14:paraId="3BEA9C40" w14:textId="77777777" w:rsidR="008B022C" w:rsidRDefault="008B022C" w:rsidP="00272DB5">
      <w:pPr>
        <w:spacing w:after="120" w:line="240" w:lineRule="auto"/>
        <w:ind w:left="720" w:right="288"/>
        <w:rPr>
          <w:rFonts w:ascii="Arial" w:hAnsi="Arial" w:cs="Arial"/>
          <w:b/>
          <w:color w:val="C00000"/>
          <w:sz w:val="26"/>
          <w:szCs w:val="26"/>
        </w:rPr>
      </w:pPr>
    </w:p>
    <w:p w14:paraId="101E7633" w14:textId="77777777" w:rsidR="00006869" w:rsidRPr="00103AEE" w:rsidRDefault="00006869" w:rsidP="00006869">
      <w:pPr>
        <w:spacing w:after="120" w:line="240" w:lineRule="auto"/>
        <w:ind w:left="720" w:right="288"/>
        <w:rPr>
          <w:rFonts w:ascii="Arial" w:hAnsi="Arial" w:cs="Arial"/>
          <w:b/>
          <w:color w:val="000000" w:themeColor="text1"/>
          <w:sz w:val="28"/>
          <w:szCs w:val="28"/>
        </w:rPr>
      </w:pPr>
      <w:r w:rsidRPr="00103AEE">
        <w:rPr>
          <w:rFonts w:ascii="Arial" w:eastAsia="Arial" w:hAnsi="Arial" w:cs="Arial"/>
          <w:b/>
          <w:color w:val="000000" w:themeColor="text1"/>
          <w:sz w:val="28"/>
          <w:szCs w:val="28"/>
          <w:lang w:bidi="es-419"/>
        </w:rPr>
        <w:t>Enlaces a los recursos</w:t>
      </w:r>
    </w:p>
    <w:p w14:paraId="7BA94104" w14:textId="261B621D" w:rsidR="00006869" w:rsidRDefault="00000000" w:rsidP="0007699A">
      <w:pPr>
        <w:pStyle w:val="ListParagraph"/>
        <w:numPr>
          <w:ilvl w:val="0"/>
          <w:numId w:val="3"/>
        </w:numPr>
        <w:spacing w:after="120" w:line="240" w:lineRule="auto"/>
        <w:ind w:right="288"/>
        <w:contextualSpacing w:val="0"/>
        <w:rPr>
          <w:rFonts w:ascii="Arial" w:hAnsi="Arial" w:cs="Arial"/>
          <w:bCs/>
          <w:color w:val="000000" w:themeColor="text1"/>
          <w:sz w:val="26"/>
          <w:szCs w:val="26"/>
        </w:rPr>
      </w:pPr>
      <w:hyperlink r:id="rId10" w:history="1">
        <w:r w:rsidR="00006869" w:rsidRPr="00EB3969">
          <w:rPr>
            <w:rStyle w:val="Hyperlink"/>
            <w:rFonts w:ascii="Arial" w:eastAsia="Arial" w:hAnsi="Arial" w:cs="Arial"/>
            <w:color w:val="4472C4" w:themeColor="accent1"/>
            <w:sz w:val="26"/>
            <w:szCs w:val="26"/>
            <w:lang w:bidi="es-419"/>
          </w:rPr>
          <w:t xml:space="preserve">Lista de servicios de asesoramiento legal gratuitos y de bajo costo </w:t>
        </w:r>
      </w:hyperlink>
      <w:r w:rsidR="00006869" w:rsidRPr="00EB3969">
        <w:rPr>
          <w:rStyle w:val="Hyperlink"/>
          <w:rFonts w:ascii="Arial" w:eastAsia="Arial" w:hAnsi="Arial" w:cs="Arial"/>
          <w:color w:val="000000" w:themeColor="text1"/>
          <w:sz w:val="26"/>
          <w:szCs w:val="26"/>
          <w:u w:val="none"/>
          <w:lang w:bidi="es-419"/>
        </w:rPr>
        <w:t>en el Área de la Bahía de San Francisco</w:t>
      </w:r>
      <w:r w:rsidR="00006869" w:rsidRPr="00B43372">
        <w:rPr>
          <w:rFonts w:ascii="Arial" w:eastAsia="Arial" w:hAnsi="Arial" w:cs="Arial"/>
          <w:color w:val="000000" w:themeColor="text1"/>
          <w:sz w:val="26"/>
          <w:szCs w:val="26"/>
          <w:lang w:bidi="es-419"/>
        </w:rPr>
        <w:t xml:space="preserve">. </w:t>
      </w:r>
    </w:p>
    <w:p w14:paraId="6A0BB80C" w14:textId="41B419CA" w:rsidR="00EB3969" w:rsidRDefault="00000000" w:rsidP="00970101">
      <w:pPr>
        <w:pStyle w:val="ListParagraph"/>
        <w:numPr>
          <w:ilvl w:val="0"/>
          <w:numId w:val="3"/>
        </w:numPr>
        <w:spacing w:after="120" w:line="240" w:lineRule="auto"/>
        <w:ind w:right="288"/>
        <w:contextualSpacing w:val="0"/>
        <w:rPr>
          <w:rFonts w:ascii="Arial" w:hAnsi="Arial" w:cs="Arial"/>
          <w:bCs/>
          <w:color w:val="000000" w:themeColor="text1"/>
          <w:sz w:val="26"/>
          <w:szCs w:val="26"/>
        </w:rPr>
      </w:pPr>
      <w:hyperlink r:id="rId11" w:history="1">
        <w:r w:rsidR="0007699A" w:rsidRPr="00013F5A">
          <w:rPr>
            <w:rStyle w:val="Hyperlink"/>
            <w:rFonts w:ascii="Arial" w:eastAsia="Arial" w:hAnsi="Arial" w:cs="Arial"/>
            <w:sz w:val="26"/>
            <w:szCs w:val="26"/>
            <w:lang w:bidi="es-419"/>
          </w:rPr>
          <w:t>Directorio de redes de respuesta rápida de California</w:t>
        </w:r>
      </w:hyperlink>
      <w:r w:rsidR="0007699A" w:rsidRPr="00EB3969">
        <w:rPr>
          <w:rFonts w:ascii="Arial" w:eastAsia="Arial" w:hAnsi="Arial" w:cs="Arial"/>
          <w:color w:val="000000" w:themeColor="text1"/>
          <w:sz w:val="26"/>
          <w:szCs w:val="26"/>
          <w:lang w:bidi="es-419"/>
        </w:rPr>
        <w:t xml:space="preserve"> para reportar actividades del ICE alrededor de zonas protegidas (California Collaborative for Immigrant Justice).</w:t>
      </w:r>
    </w:p>
    <w:p w14:paraId="2AB37BB5" w14:textId="354E28D5" w:rsidR="00EB3969" w:rsidRDefault="00000000" w:rsidP="00EB3969">
      <w:pPr>
        <w:pStyle w:val="ListParagraph"/>
        <w:numPr>
          <w:ilvl w:val="0"/>
          <w:numId w:val="3"/>
        </w:numPr>
        <w:spacing w:after="120" w:line="240" w:lineRule="auto"/>
        <w:ind w:right="288"/>
        <w:contextualSpacing w:val="0"/>
        <w:rPr>
          <w:rFonts w:ascii="Arial" w:hAnsi="Arial" w:cs="Arial"/>
          <w:bCs/>
          <w:color w:val="000000" w:themeColor="text1"/>
          <w:sz w:val="26"/>
          <w:szCs w:val="26"/>
        </w:rPr>
      </w:pPr>
      <w:hyperlink r:id="rId12" w:history="1">
        <w:r w:rsidR="00EB3969" w:rsidRPr="00EB3969">
          <w:rPr>
            <w:rStyle w:val="Hyperlink"/>
            <w:rFonts w:ascii="Arial" w:eastAsia="Arial" w:hAnsi="Arial" w:cs="Arial"/>
            <w:sz w:val="26"/>
            <w:szCs w:val="26"/>
            <w:lang w:bidi="es-419"/>
          </w:rPr>
          <w:t>Información en múltiples idiomas sobre seguridad en caso de terremoto</w:t>
        </w:r>
      </w:hyperlink>
      <w:r w:rsidR="00EB3969">
        <w:rPr>
          <w:rFonts w:ascii="Arial" w:eastAsia="Arial" w:hAnsi="Arial" w:cs="Arial"/>
          <w:color w:val="000000" w:themeColor="text1"/>
          <w:sz w:val="26"/>
          <w:szCs w:val="26"/>
          <w:lang w:bidi="es-419"/>
        </w:rPr>
        <w:t xml:space="preserve"> (página web de CADRE). </w:t>
      </w:r>
    </w:p>
    <w:p w14:paraId="4C75B96F" w14:textId="1281540A" w:rsidR="00B43F49" w:rsidRPr="008F231D" w:rsidRDefault="00000000" w:rsidP="00EB3969">
      <w:pPr>
        <w:pStyle w:val="ListParagraph"/>
        <w:numPr>
          <w:ilvl w:val="0"/>
          <w:numId w:val="3"/>
        </w:numPr>
        <w:spacing w:after="120" w:line="240" w:lineRule="auto"/>
        <w:ind w:right="288"/>
        <w:contextualSpacing w:val="0"/>
        <w:rPr>
          <w:rFonts w:ascii="Arial" w:hAnsi="Arial" w:cs="Arial"/>
          <w:bCs/>
          <w:color w:val="000000" w:themeColor="text1"/>
          <w:sz w:val="26"/>
          <w:szCs w:val="26"/>
        </w:rPr>
      </w:pPr>
      <w:hyperlink r:id="rId13" w:history="1">
        <w:r w:rsidR="00006869" w:rsidRPr="00EB3969">
          <w:rPr>
            <w:rStyle w:val="Hyperlink"/>
            <w:rFonts w:ascii="Arial" w:eastAsia="Arial" w:hAnsi="Arial" w:cs="Arial"/>
            <w:sz w:val="26"/>
            <w:szCs w:val="26"/>
            <w:lang w:bidi="es-419"/>
          </w:rPr>
          <w:t>Enlaces a información y recursos locales, estatales y nacionales</w:t>
        </w:r>
      </w:hyperlink>
      <w:r w:rsidR="00006869" w:rsidRPr="00EB3969">
        <w:rPr>
          <w:rFonts w:ascii="Arial" w:eastAsia="Arial" w:hAnsi="Arial" w:cs="Arial"/>
          <w:sz w:val="26"/>
          <w:szCs w:val="26"/>
          <w:lang w:bidi="es-419"/>
        </w:rPr>
        <w:t xml:space="preserve"> (Immigrantinfo.org).</w:t>
      </w:r>
    </w:p>
    <w:p w14:paraId="30D278FE" w14:textId="3B2C29E5" w:rsidR="008F231D" w:rsidRPr="00C260FE" w:rsidRDefault="00B83ABD" w:rsidP="00EB3969">
      <w:pPr>
        <w:pStyle w:val="ListParagraph"/>
        <w:numPr>
          <w:ilvl w:val="0"/>
          <w:numId w:val="3"/>
        </w:numPr>
        <w:spacing w:after="120" w:line="240" w:lineRule="auto"/>
        <w:ind w:right="288"/>
        <w:contextualSpacing w:val="0"/>
        <w:rPr>
          <w:rStyle w:val="Hyperlink"/>
          <w:rFonts w:ascii="Arial" w:hAnsi="Arial" w:cs="Arial"/>
          <w:bCs/>
          <w:color w:val="000000" w:themeColor="text1"/>
          <w:sz w:val="26"/>
          <w:szCs w:val="26"/>
          <w:u w:val="none"/>
        </w:rPr>
      </w:pPr>
      <w:r>
        <w:rPr>
          <w:rFonts w:ascii="Arial" w:eastAsia="Arial" w:hAnsi="Arial" w:cs="Arial"/>
          <w:sz w:val="26"/>
          <w:szCs w:val="26"/>
          <w:lang w:bidi="es-419"/>
        </w:rPr>
        <w:t>**Lista de servicios seguros de usar de carga pública (</w:t>
      </w:r>
      <w:r w:rsidR="008F231D" w:rsidRPr="0007699A">
        <w:rPr>
          <w:rFonts w:ascii="Arial" w:eastAsia="Arial" w:hAnsi="Arial" w:cs="Arial"/>
          <w:lang w:bidi="es-419"/>
        </w:rPr>
        <w:t>mayo de 2021</w:t>
      </w:r>
      <w:r w:rsidR="008F231D" w:rsidRPr="00B43F49">
        <w:rPr>
          <w:rFonts w:ascii="Arial" w:eastAsia="Arial" w:hAnsi="Arial" w:cs="Arial"/>
          <w:sz w:val="26"/>
          <w:szCs w:val="26"/>
          <w:lang w:bidi="es-419"/>
        </w:rPr>
        <w:t xml:space="preserve">)  </w:t>
      </w:r>
      <w:hyperlink r:id="rId14" w:history="1">
        <w:r w:rsidR="008F231D" w:rsidRPr="008F231D">
          <w:rPr>
            <w:rStyle w:val="Hyperlink"/>
            <w:rFonts w:ascii="Arial" w:eastAsia="Arial" w:hAnsi="Arial" w:cs="Arial"/>
            <w:sz w:val="26"/>
            <w:szCs w:val="26"/>
            <w:lang w:bidi="es-419"/>
          </w:rPr>
          <w:t>inglés</w:t>
        </w:r>
      </w:hyperlink>
      <w:r w:rsidR="008F231D">
        <w:rPr>
          <w:rFonts w:ascii="Arial" w:eastAsia="Arial" w:hAnsi="Arial" w:cs="Arial"/>
          <w:sz w:val="26"/>
          <w:szCs w:val="26"/>
          <w:lang w:bidi="es-419"/>
        </w:rPr>
        <w:t xml:space="preserve"> </w:t>
      </w:r>
      <w:hyperlink r:id="rId15" w:history="1">
        <w:r w:rsidR="008F231D" w:rsidRPr="008F231D">
          <w:rPr>
            <w:rStyle w:val="Hyperlink"/>
            <w:rFonts w:ascii="Arial" w:eastAsia="Arial" w:hAnsi="Arial" w:cs="Arial"/>
            <w:sz w:val="26"/>
            <w:szCs w:val="26"/>
            <w:lang w:bidi="es-419"/>
          </w:rPr>
          <w:t>español</w:t>
        </w:r>
      </w:hyperlink>
      <w:r w:rsidR="008F231D" w:rsidRPr="0007699A">
        <w:rPr>
          <w:rFonts w:ascii="Arial" w:eastAsia="Arial" w:hAnsi="Arial" w:cs="Arial"/>
          <w:lang w:bidi="es-419"/>
        </w:rPr>
        <w:t>.</w:t>
      </w:r>
    </w:p>
    <w:p w14:paraId="2E8A1C1C" w14:textId="28500026" w:rsidR="00C260FE" w:rsidRPr="00C260FE" w:rsidRDefault="00000000" w:rsidP="00C260FE">
      <w:pPr>
        <w:pStyle w:val="ListParagraph"/>
        <w:numPr>
          <w:ilvl w:val="0"/>
          <w:numId w:val="3"/>
        </w:numPr>
        <w:spacing w:after="0" w:line="240" w:lineRule="auto"/>
        <w:contextualSpacing w:val="0"/>
        <w:rPr>
          <w:rFonts w:ascii="Arial" w:eastAsia="Times New Roman" w:hAnsi="Arial" w:cs="Arial"/>
          <w:b/>
          <w:bCs/>
          <w:color w:val="0070C0"/>
          <w:sz w:val="24"/>
          <w:szCs w:val="24"/>
          <w:u w:val="single"/>
        </w:rPr>
      </w:pPr>
      <w:hyperlink r:id="rId16" w:history="1">
        <w:r w:rsidR="00C260FE" w:rsidRPr="00C260FE">
          <w:rPr>
            <w:rStyle w:val="Hyperlink"/>
            <w:rFonts w:ascii="Arial" w:eastAsia="Arial" w:hAnsi="Arial" w:cs="Arial"/>
            <w:sz w:val="24"/>
            <w:szCs w:val="24"/>
            <w:lang w:bidi="es-419"/>
          </w:rPr>
          <w:t>Asistencia gubernamental en caso de catástrofe de FEMA para inmigrantes indocumentados (inglés),</w:t>
        </w:r>
      </w:hyperlink>
      <w:r w:rsidR="00C260FE" w:rsidRPr="00C260FE">
        <w:rPr>
          <w:rFonts w:ascii="Arial" w:eastAsia="Times New Roman" w:hAnsi="Arial" w:cs="Arial"/>
          <w:b/>
          <w:color w:val="0070C0"/>
          <w:sz w:val="24"/>
          <w:szCs w:val="24"/>
          <w:lang w:bidi="es-419"/>
        </w:rPr>
        <w:t xml:space="preserve"> </w:t>
      </w:r>
      <w:r w:rsidR="00C260FE" w:rsidRPr="00C260FE">
        <w:rPr>
          <w:rFonts w:ascii="Arial" w:eastAsia="Times New Roman" w:hAnsi="Arial" w:cs="Arial"/>
          <w:color w:val="0070C0"/>
          <w:lang w:bidi="es-419"/>
        </w:rPr>
        <w:t>09/10/2020.</w:t>
      </w:r>
      <w:r w:rsidR="00C260FE" w:rsidRPr="00C260FE">
        <w:rPr>
          <w:rFonts w:ascii="Arial" w:eastAsia="Times New Roman" w:hAnsi="Arial" w:cs="Arial"/>
          <w:b/>
          <w:color w:val="0070C0"/>
          <w:sz w:val="24"/>
          <w:szCs w:val="24"/>
          <w:lang w:bidi="es-419"/>
        </w:rPr>
        <w:t xml:space="preserve"> </w:t>
      </w:r>
      <w:r w:rsidR="00C260FE" w:rsidRPr="00C260FE">
        <w:rPr>
          <w:rFonts w:ascii="Arial" w:eastAsia="Times New Roman" w:hAnsi="Arial" w:cs="Arial"/>
          <w:b/>
          <w:color w:val="0070C0"/>
          <w:sz w:val="24"/>
          <w:szCs w:val="24"/>
          <w:u w:val="single"/>
          <w:lang w:bidi="es-419"/>
        </w:rPr>
        <w:t xml:space="preserve"> </w:t>
      </w:r>
    </w:p>
    <w:p w14:paraId="7FFB9CA8" w14:textId="77777777" w:rsidR="00EB3969" w:rsidRPr="00EB3969" w:rsidRDefault="00EB3969" w:rsidP="00EB3969">
      <w:pPr>
        <w:spacing w:after="120" w:line="240" w:lineRule="auto"/>
        <w:ind w:left="360" w:right="288"/>
        <w:rPr>
          <w:rFonts w:ascii="Arial" w:hAnsi="Arial" w:cs="Arial"/>
          <w:sz w:val="26"/>
          <w:szCs w:val="26"/>
        </w:rPr>
      </w:pPr>
    </w:p>
    <w:p w14:paraId="3F372EBA" w14:textId="4E344B12" w:rsidR="00C20D19" w:rsidRPr="00C20D19" w:rsidRDefault="007F548E" w:rsidP="00C20D19">
      <w:pPr>
        <w:spacing w:after="120" w:line="240" w:lineRule="auto"/>
        <w:ind w:left="720" w:right="288"/>
        <w:rPr>
          <w:rFonts w:ascii="Arial" w:hAnsi="Arial" w:cs="Arial"/>
          <w:b/>
          <w:color w:val="000000" w:themeColor="text1"/>
          <w:sz w:val="28"/>
          <w:szCs w:val="28"/>
        </w:rPr>
      </w:pPr>
      <w:r>
        <w:rPr>
          <w:rFonts w:ascii="Arial" w:eastAsia="Arial" w:hAnsi="Arial" w:cs="Arial"/>
          <w:b/>
          <w:color w:val="000000" w:themeColor="text1"/>
          <w:sz w:val="28"/>
          <w:szCs w:val="28"/>
          <w:lang w:bidi="es-419"/>
        </w:rPr>
        <w:t>*Otras zonas protegidas:</w:t>
      </w:r>
    </w:p>
    <w:p w14:paraId="7330BA4D" w14:textId="70B2F0B0" w:rsidR="00B43F49" w:rsidRPr="001978CE" w:rsidRDefault="00B43F49" w:rsidP="00B43F49">
      <w:pPr>
        <w:shd w:val="clear" w:color="auto" w:fill="FFFFFF"/>
        <w:spacing w:line="240" w:lineRule="auto"/>
        <w:ind w:left="720" w:right="288"/>
        <w:rPr>
          <w:rFonts w:ascii="Arial" w:hAnsi="Arial" w:cs="Arial"/>
          <w:color w:val="080808"/>
          <w:sz w:val="26"/>
          <w:szCs w:val="26"/>
          <w:shd w:val="clear" w:color="auto" w:fill="FFFFFF"/>
        </w:rPr>
      </w:pPr>
      <w:r w:rsidRPr="001978CE">
        <w:rPr>
          <w:rFonts w:ascii="Arial" w:eastAsia="Arial" w:hAnsi="Arial" w:cs="Arial"/>
          <w:color w:val="080808"/>
          <w:sz w:val="26"/>
          <w:szCs w:val="26"/>
          <w:shd w:val="clear" w:color="auto" w:fill="FFFFFF"/>
          <w:lang w:bidi="es-419"/>
        </w:rPr>
        <w:t xml:space="preserve">Además de las actividades de respuesta y asistencia ante un desastre o emergencia, las “zonas protegidas” incluyen: </w:t>
      </w:r>
    </w:p>
    <w:p w14:paraId="46741E64" w14:textId="60E9AE89" w:rsidR="00601FD9" w:rsidRDefault="00B43F49" w:rsidP="002E58C7">
      <w:pPr>
        <w:pStyle w:val="ListParagraph"/>
        <w:numPr>
          <w:ilvl w:val="0"/>
          <w:numId w:val="5"/>
        </w:numPr>
        <w:shd w:val="clear" w:color="auto" w:fill="FFFFFF"/>
        <w:spacing w:after="0" w:line="240" w:lineRule="auto"/>
        <w:ind w:right="288"/>
        <w:rPr>
          <w:rFonts w:ascii="Arial" w:eastAsia="Times New Roman" w:hAnsi="Arial" w:cs="Arial"/>
          <w:color w:val="333333"/>
          <w:sz w:val="26"/>
          <w:szCs w:val="26"/>
        </w:rPr>
      </w:pPr>
      <w:r w:rsidRPr="00601FD9">
        <w:rPr>
          <w:rFonts w:ascii="Arial" w:eastAsia="Times New Roman" w:hAnsi="Arial" w:cs="Arial"/>
          <w:color w:val="333333"/>
          <w:sz w:val="26"/>
          <w:szCs w:val="26"/>
          <w:lang w:bidi="es-419"/>
        </w:rPr>
        <w:t>Una escuela como la pre-escolar, la primaria o secundaria, la vocacional o técnica, o el instituto o universidad.</w:t>
      </w:r>
    </w:p>
    <w:p w14:paraId="51EC3B8F" w14:textId="77777777" w:rsidR="002E58C7" w:rsidRPr="00601FD9" w:rsidRDefault="002E58C7" w:rsidP="002E58C7">
      <w:pPr>
        <w:pStyle w:val="ListParagraph"/>
        <w:shd w:val="clear" w:color="auto" w:fill="FFFFFF"/>
        <w:spacing w:after="0" w:line="240" w:lineRule="auto"/>
        <w:ind w:left="1440" w:right="288"/>
        <w:rPr>
          <w:rFonts w:ascii="Arial" w:eastAsia="Times New Roman" w:hAnsi="Arial" w:cs="Arial"/>
          <w:color w:val="333333"/>
          <w:sz w:val="26"/>
          <w:szCs w:val="26"/>
        </w:rPr>
      </w:pPr>
    </w:p>
    <w:p w14:paraId="13CF27A0" w14:textId="7FD99CED" w:rsidR="00601FD9" w:rsidRDefault="00B43F49" w:rsidP="002E58C7">
      <w:pPr>
        <w:pStyle w:val="ListParagraph"/>
        <w:numPr>
          <w:ilvl w:val="0"/>
          <w:numId w:val="5"/>
        </w:numPr>
        <w:shd w:val="clear" w:color="auto" w:fill="FFFFFF"/>
        <w:spacing w:after="0" w:line="240" w:lineRule="auto"/>
        <w:ind w:right="288"/>
        <w:rPr>
          <w:rFonts w:ascii="Arial" w:hAnsi="Arial" w:cs="Arial"/>
          <w:color w:val="000000"/>
          <w:sz w:val="26"/>
          <w:szCs w:val="26"/>
        </w:rPr>
      </w:pPr>
      <w:r w:rsidRPr="00601FD9">
        <w:rPr>
          <w:rFonts w:ascii="Arial" w:eastAsia="Arial" w:hAnsi="Arial" w:cs="Arial"/>
          <w:color w:val="000000"/>
          <w:sz w:val="26"/>
          <w:szCs w:val="26"/>
          <w:lang w:bidi="es-419"/>
        </w:rPr>
        <w:t xml:space="preserve">Los lugares que brindan servicios sociales que son “esenciales para las personas necesitadas”: bancos de alimentos, albergues contra la violencia doméstica e instalaciones que atienden a personas con discapacidad.  </w:t>
      </w:r>
    </w:p>
    <w:p w14:paraId="500F0891" w14:textId="77777777" w:rsidR="002E58C7" w:rsidRPr="002E58C7" w:rsidRDefault="002E58C7" w:rsidP="002E58C7">
      <w:pPr>
        <w:shd w:val="clear" w:color="auto" w:fill="FFFFFF"/>
        <w:spacing w:after="0" w:line="240" w:lineRule="auto"/>
        <w:ind w:right="288"/>
        <w:rPr>
          <w:rFonts w:ascii="Arial" w:hAnsi="Arial" w:cs="Arial"/>
          <w:color w:val="000000"/>
          <w:sz w:val="26"/>
          <w:szCs w:val="26"/>
        </w:rPr>
      </w:pPr>
    </w:p>
    <w:p w14:paraId="5233FF4A" w14:textId="0A119743" w:rsidR="00B43F49" w:rsidRDefault="00B43F49" w:rsidP="002E58C7">
      <w:pPr>
        <w:pStyle w:val="ListParagraph"/>
        <w:numPr>
          <w:ilvl w:val="0"/>
          <w:numId w:val="5"/>
        </w:numPr>
        <w:shd w:val="clear" w:color="auto" w:fill="FFFFFF"/>
        <w:spacing w:after="0" w:line="240" w:lineRule="auto"/>
        <w:ind w:right="288"/>
        <w:rPr>
          <w:rFonts w:ascii="Arial" w:hAnsi="Arial" w:cs="Arial"/>
          <w:color w:val="000000"/>
          <w:sz w:val="26"/>
          <w:szCs w:val="26"/>
        </w:rPr>
      </w:pPr>
      <w:r w:rsidRPr="00601FD9">
        <w:rPr>
          <w:rFonts w:ascii="Arial" w:eastAsia="Arial" w:hAnsi="Arial" w:cs="Arial"/>
          <w:color w:val="000000"/>
          <w:sz w:val="26"/>
          <w:szCs w:val="26"/>
          <w:lang w:bidi="es-419"/>
        </w:rPr>
        <w:t xml:space="preserve">Los lugares donde se reúnen los niños: guarderías, programas extracurriculares, casas de acogida, paradas de autobús y parques infantiles.   </w:t>
      </w:r>
    </w:p>
    <w:p w14:paraId="5D81171F" w14:textId="77777777" w:rsidR="002E58C7" w:rsidRPr="002E58C7" w:rsidRDefault="002E58C7" w:rsidP="002E58C7">
      <w:pPr>
        <w:shd w:val="clear" w:color="auto" w:fill="FFFFFF"/>
        <w:spacing w:after="0" w:line="240" w:lineRule="auto"/>
        <w:ind w:right="288"/>
        <w:rPr>
          <w:rFonts w:ascii="Arial" w:hAnsi="Arial" w:cs="Arial"/>
          <w:color w:val="000000"/>
          <w:sz w:val="26"/>
          <w:szCs w:val="26"/>
        </w:rPr>
      </w:pPr>
    </w:p>
    <w:p w14:paraId="2FD5A003" w14:textId="5B814A70" w:rsidR="00B43F49" w:rsidRDefault="00B43F49" w:rsidP="002E58C7">
      <w:pPr>
        <w:pStyle w:val="ListParagraph"/>
        <w:numPr>
          <w:ilvl w:val="0"/>
          <w:numId w:val="5"/>
        </w:numPr>
        <w:shd w:val="clear" w:color="auto" w:fill="FFFFFF"/>
        <w:spacing w:after="0" w:line="240" w:lineRule="auto"/>
        <w:ind w:right="288"/>
        <w:rPr>
          <w:rFonts w:ascii="Arial" w:hAnsi="Arial" w:cs="Arial"/>
          <w:color w:val="000000"/>
          <w:sz w:val="26"/>
          <w:szCs w:val="26"/>
        </w:rPr>
      </w:pPr>
      <w:r w:rsidRPr="00601FD9">
        <w:rPr>
          <w:rFonts w:ascii="Arial" w:eastAsia="Arial" w:hAnsi="Arial" w:cs="Arial"/>
          <w:color w:val="000000"/>
          <w:sz w:val="26"/>
          <w:szCs w:val="26"/>
          <w:lang w:bidi="es-419"/>
        </w:rPr>
        <w:t>Los centros de tratamiento médico: hospitales, consultorios médicos, sitios de vacunación y de detección de COVID-19, proveedores de servicios de salud mental, centros de salud comunitarios, centros de atención médica inmediata y lugares de atención de embarazos.</w:t>
      </w:r>
    </w:p>
    <w:p w14:paraId="199F7EAA" w14:textId="77777777" w:rsidR="002E58C7" w:rsidRPr="002E58C7" w:rsidRDefault="002E58C7" w:rsidP="002E58C7">
      <w:pPr>
        <w:shd w:val="clear" w:color="auto" w:fill="FFFFFF"/>
        <w:spacing w:after="0" w:line="240" w:lineRule="auto"/>
        <w:ind w:right="288"/>
        <w:rPr>
          <w:rFonts w:ascii="Arial" w:hAnsi="Arial" w:cs="Arial"/>
          <w:color w:val="000000"/>
          <w:sz w:val="26"/>
          <w:szCs w:val="26"/>
        </w:rPr>
      </w:pPr>
    </w:p>
    <w:p w14:paraId="7FF7F3E8" w14:textId="73C30036" w:rsidR="008B022C" w:rsidRPr="002E58C7" w:rsidRDefault="008B022C" w:rsidP="002E58C7">
      <w:pPr>
        <w:pStyle w:val="ListParagraph"/>
        <w:numPr>
          <w:ilvl w:val="0"/>
          <w:numId w:val="5"/>
        </w:numPr>
        <w:shd w:val="clear" w:color="auto" w:fill="FFFFFF"/>
        <w:spacing w:after="0" w:line="240" w:lineRule="auto"/>
        <w:rPr>
          <w:rFonts w:ascii="Arial" w:eastAsia="Times New Roman" w:hAnsi="Arial" w:cs="Arial"/>
          <w:color w:val="333333"/>
          <w:sz w:val="24"/>
          <w:szCs w:val="24"/>
        </w:rPr>
      </w:pPr>
      <w:r w:rsidRPr="00601FD9">
        <w:rPr>
          <w:rFonts w:ascii="Arial" w:eastAsia="Times New Roman" w:hAnsi="Arial" w:cs="Arial"/>
          <w:color w:val="333333"/>
          <w:sz w:val="26"/>
          <w:szCs w:val="26"/>
          <w:lang w:bidi="es-419"/>
        </w:rPr>
        <w:t>Un lugar donde se estén realizando desfiles, manifestaciones o reuniones.</w:t>
      </w:r>
    </w:p>
    <w:p w14:paraId="1AEC1EB7" w14:textId="77777777" w:rsidR="002E58C7" w:rsidRPr="002E58C7" w:rsidRDefault="002E58C7" w:rsidP="002E58C7">
      <w:pPr>
        <w:shd w:val="clear" w:color="auto" w:fill="FFFFFF"/>
        <w:spacing w:after="0" w:line="240" w:lineRule="auto"/>
        <w:rPr>
          <w:rFonts w:ascii="Arial" w:eastAsia="Times New Roman" w:hAnsi="Arial" w:cs="Arial"/>
          <w:color w:val="333333"/>
          <w:sz w:val="24"/>
          <w:szCs w:val="24"/>
        </w:rPr>
      </w:pPr>
    </w:p>
    <w:p w14:paraId="0BB7F433" w14:textId="2B1C4E61" w:rsidR="00B43F49" w:rsidRDefault="00B43F49" w:rsidP="002E58C7">
      <w:pPr>
        <w:pStyle w:val="ListParagraph"/>
        <w:numPr>
          <w:ilvl w:val="0"/>
          <w:numId w:val="5"/>
        </w:numPr>
        <w:shd w:val="clear" w:color="auto" w:fill="FFFFFF"/>
        <w:spacing w:after="0" w:line="240" w:lineRule="auto"/>
        <w:ind w:right="288"/>
        <w:rPr>
          <w:rFonts w:ascii="Arial" w:hAnsi="Arial" w:cs="Arial"/>
          <w:color w:val="000000"/>
          <w:sz w:val="26"/>
          <w:szCs w:val="26"/>
        </w:rPr>
      </w:pPr>
      <w:r w:rsidRPr="00601FD9">
        <w:rPr>
          <w:rFonts w:ascii="Arial" w:eastAsia="Arial" w:hAnsi="Arial" w:cs="Arial"/>
          <w:color w:val="000000"/>
          <w:sz w:val="26"/>
          <w:szCs w:val="26"/>
          <w:lang w:bidi="es-419"/>
        </w:rPr>
        <w:t>Los lugares de adoración o estudios religiosos, incluyendo estructuras temporales dedicadas a actividades de fe.</w:t>
      </w:r>
    </w:p>
    <w:p w14:paraId="2790E544" w14:textId="77777777" w:rsidR="002E58C7" w:rsidRPr="002E58C7" w:rsidRDefault="002E58C7" w:rsidP="002E58C7">
      <w:pPr>
        <w:shd w:val="clear" w:color="auto" w:fill="FFFFFF"/>
        <w:spacing w:after="0" w:line="240" w:lineRule="auto"/>
        <w:ind w:right="288"/>
        <w:rPr>
          <w:rFonts w:ascii="Arial" w:hAnsi="Arial" w:cs="Arial"/>
          <w:color w:val="000000"/>
          <w:sz w:val="26"/>
          <w:szCs w:val="26"/>
        </w:rPr>
      </w:pPr>
    </w:p>
    <w:p w14:paraId="7D7D9C82" w14:textId="6800C882" w:rsidR="00C20D19" w:rsidRPr="00601FD9" w:rsidRDefault="00C20D19" w:rsidP="002E58C7">
      <w:pPr>
        <w:pStyle w:val="ListParagraph"/>
        <w:numPr>
          <w:ilvl w:val="0"/>
          <w:numId w:val="5"/>
        </w:numPr>
        <w:shd w:val="clear" w:color="auto" w:fill="FFFFFF"/>
        <w:spacing w:after="0" w:line="240" w:lineRule="auto"/>
        <w:rPr>
          <w:rFonts w:ascii="Arial" w:eastAsia="Times New Roman" w:hAnsi="Arial" w:cs="Arial"/>
          <w:color w:val="333333"/>
          <w:sz w:val="26"/>
          <w:szCs w:val="26"/>
        </w:rPr>
      </w:pPr>
      <w:r w:rsidRPr="00601FD9">
        <w:rPr>
          <w:rFonts w:ascii="Arial" w:eastAsia="Times New Roman" w:hAnsi="Arial" w:cs="Arial"/>
          <w:color w:val="333333"/>
          <w:sz w:val="26"/>
          <w:szCs w:val="26"/>
          <w:lang w:bidi="es-419"/>
        </w:rPr>
        <w:t>Un lugar donde se realicen funerales, velorios, rezos de rosario, bodas u otras ceremonias o celebraciones religiosas o civiles.</w:t>
      </w:r>
    </w:p>
    <w:p w14:paraId="2B200778" w14:textId="56EA2DB9" w:rsidR="00B43F49" w:rsidRPr="001978CE" w:rsidRDefault="00B43F49" w:rsidP="002E58C7">
      <w:pPr>
        <w:shd w:val="clear" w:color="auto" w:fill="FFFFFF"/>
        <w:spacing w:after="0" w:line="240" w:lineRule="auto"/>
        <w:ind w:left="720" w:right="288"/>
        <w:contextualSpacing/>
        <w:rPr>
          <w:rFonts w:ascii="Arial" w:hAnsi="Arial" w:cs="Arial"/>
          <w:color w:val="000000"/>
          <w:sz w:val="26"/>
          <w:szCs w:val="26"/>
        </w:rPr>
      </w:pPr>
    </w:p>
    <w:p w14:paraId="06CB5041" w14:textId="64198D62" w:rsidR="00B43F49" w:rsidRDefault="00B43F49" w:rsidP="00B43F49">
      <w:pPr>
        <w:shd w:val="clear" w:color="auto" w:fill="FFFFFF"/>
        <w:spacing w:line="240" w:lineRule="auto"/>
        <w:ind w:left="720" w:right="288"/>
        <w:textAlignment w:val="baseline"/>
        <w:rPr>
          <w:rFonts w:ascii="Arial" w:eastAsia="Times New Roman" w:hAnsi="Arial" w:cs="Arial"/>
          <w:b/>
          <w:color w:val="0070C0"/>
          <w:sz w:val="28"/>
          <w:szCs w:val="28"/>
        </w:rPr>
      </w:pPr>
    </w:p>
    <w:p w14:paraId="1428CCD1" w14:textId="77777777" w:rsidR="00AA05A5" w:rsidRDefault="00AA05A5" w:rsidP="00861B18">
      <w:pPr>
        <w:shd w:val="clear" w:color="auto" w:fill="FFFFFF"/>
        <w:spacing w:line="240" w:lineRule="auto"/>
        <w:ind w:right="288"/>
        <w:textAlignment w:val="baseline"/>
        <w:rPr>
          <w:rFonts w:ascii="Arial" w:eastAsia="Times New Roman" w:hAnsi="Arial" w:cs="Arial"/>
          <w:b/>
          <w:color w:val="0070C0"/>
          <w:sz w:val="28"/>
          <w:szCs w:val="28"/>
        </w:rPr>
      </w:pPr>
    </w:p>
    <w:p w14:paraId="7C4634E1" w14:textId="77777777" w:rsidR="00AA05A5" w:rsidRPr="001978CE" w:rsidRDefault="00AA05A5" w:rsidP="00AA05A5">
      <w:pPr>
        <w:spacing w:after="120" w:line="240" w:lineRule="auto"/>
        <w:ind w:left="720" w:right="288"/>
        <w:rPr>
          <w:rFonts w:ascii="Arial" w:hAnsi="Arial" w:cs="Arial"/>
          <w:sz w:val="26"/>
          <w:szCs w:val="26"/>
        </w:rPr>
      </w:pPr>
    </w:p>
    <w:p w14:paraId="2C679C77" w14:textId="77777777" w:rsidR="00AA05A5" w:rsidRPr="00841609" w:rsidRDefault="00AA05A5" w:rsidP="00AA05A5">
      <w:pPr>
        <w:shd w:val="clear" w:color="auto" w:fill="FFFFFF"/>
        <w:spacing w:after="120" w:line="240" w:lineRule="auto"/>
        <w:ind w:left="720" w:right="288"/>
        <w:textAlignment w:val="baseline"/>
        <w:rPr>
          <w:rFonts w:ascii="Arial" w:hAnsi="Arial" w:cs="Arial"/>
        </w:rPr>
      </w:pPr>
    </w:p>
    <w:p w14:paraId="1DEA5D78" w14:textId="121D0DE6" w:rsidR="00AA05A5" w:rsidRDefault="00AA05A5" w:rsidP="00AA05A5">
      <w:pPr>
        <w:spacing w:after="160" w:line="259" w:lineRule="auto"/>
        <w:rPr>
          <w:rFonts w:ascii="Arial" w:eastAsia="Times New Roman" w:hAnsi="Arial" w:cs="Arial"/>
          <w:b/>
          <w:bCs/>
          <w:color w:val="333333"/>
          <w:sz w:val="28"/>
          <w:szCs w:val="28"/>
          <w:highlight w:val="yellow"/>
        </w:rPr>
      </w:pPr>
    </w:p>
    <w:sectPr w:rsidR="00AA05A5" w:rsidSect="00D95E06">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1C3B" w14:textId="77777777" w:rsidR="006E6755" w:rsidRDefault="006E6755" w:rsidP="00153626">
      <w:pPr>
        <w:spacing w:after="0" w:line="240" w:lineRule="auto"/>
      </w:pPr>
      <w:r>
        <w:separator/>
      </w:r>
    </w:p>
  </w:endnote>
  <w:endnote w:type="continuationSeparator" w:id="0">
    <w:p w14:paraId="33A8856C" w14:textId="77777777" w:rsidR="006E6755" w:rsidRDefault="006E6755" w:rsidP="0015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29C6" w14:textId="77777777" w:rsidR="008A020E" w:rsidRDefault="008A0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17D2" w14:textId="51B31269" w:rsidR="00153626" w:rsidRDefault="00731697" w:rsidP="00153626">
    <w:pPr>
      <w:pStyle w:val="Footer"/>
    </w:pPr>
    <w:r>
      <w:rPr>
        <w:lang w:bidi="es-419"/>
      </w:rPr>
      <w:t xml:space="preserve">                      </w:t>
    </w:r>
    <w:r w:rsidR="00635511" w:rsidRPr="00E27428">
      <w:rPr>
        <w:sz w:val="18"/>
        <w:szCs w:val="18"/>
        <w:lang w:bidi="es-419"/>
      </w:rPr>
      <w:t>Admin@CADRESV.org</w:t>
    </w:r>
    <w:r>
      <w:rPr>
        <w:lang w:bidi="es-419"/>
      </w:rPr>
      <w:tab/>
    </w:r>
    <w:sdt>
      <w:sdtPr>
        <w:id w:val="-1087758852"/>
        <w:docPartObj>
          <w:docPartGallery w:val="Page Numbers (Bottom of Page)"/>
          <w:docPartUnique/>
        </w:docPartObj>
      </w:sdtPr>
      <w:sdtEndPr>
        <w:rPr>
          <w:noProof/>
        </w:rPr>
      </w:sdtEndPr>
      <w:sdtContent>
        <w:r w:rsidR="00153626">
          <w:rPr>
            <w:lang w:bidi="es-419"/>
          </w:rPr>
          <w:t xml:space="preserve">                                </w:t>
        </w:r>
        <w:r w:rsidR="00153626" w:rsidRPr="00E27428">
          <w:rPr>
            <w:sz w:val="18"/>
            <w:szCs w:val="18"/>
            <w:lang w:bidi="es-419"/>
          </w:rPr>
          <w:t xml:space="preserve"> </w:t>
        </w:r>
        <w:r w:rsidR="00153626" w:rsidRPr="00E27428">
          <w:rPr>
            <w:sz w:val="18"/>
            <w:szCs w:val="18"/>
            <w:lang w:bidi="es-419"/>
          </w:rPr>
          <w:fldChar w:fldCharType="begin"/>
        </w:r>
        <w:r w:rsidR="00153626" w:rsidRPr="00E27428">
          <w:rPr>
            <w:sz w:val="18"/>
            <w:szCs w:val="18"/>
            <w:lang w:bidi="es-419"/>
          </w:rPr>
          <w:instrText xml:space="preserve"> PAGE   \* MERGEFORMAT </w:instrText>
        </w:r>
        <w:r w:rsidR="00153626" w:rsidRPr="00E27428">
          <w:rPr>
            <w:sz w:val="18"/>
            <w:szCs w:val="18"/>
            <w:lang w:bidi="es-419"/>
          </w:rPr>
          <w:fldChar w:fldCharType="separate"/>
        </w:r>
        <w:r w:rsidR="00A375A6">
          <w:rPr>
            <w:noProof/>
            <w:sz w:val="18"/>
            <w:szCs w:val="18"/>
            <w:lang w:bidi="es-419"/>
          </w:rPr>
          <w:t>3</w:t>
        </w:r>
        <w:r w:rsidR="00153626" w:rsidRPr="00E27428">
          <w:rPr>
            <w:noProof/>
            <w:sz w:val="18"/>
            <w:szCs w:val="18"/>
            <w:lang w:bidi="es-419"/>
          </w:rPr>
          <w:fldChar w:fldCharType="end"/>
        </w:r>
        <w:r w:rsidR="00153626">
          <w:rPr>
            <w:noProof/>
            <w:lang w:bidi="es-419"/>
          </w:rPr>
          <w:tab/>
        </w:r>
        <w:r w:rsidR="008B022C" w:rsidRPr="00E27428">
          <w:rPr>
            <w:noProof/>
            <w:sz w:val="18"/>
            <w:szCs w:val="18"/>
            <w:lang w:bidi="es-419"/>
          </w:rPr>
          <w:t>2/</w:t>
        </w:r>
        <w:r w:rsidR="00E27428" w:rsidRPr="00E27428">
          <w:rPr>
            <w:noProof/>
            <w:sz w:val="18"/>
            <w:szCs w:val="18"/>
            <w:lang w:bidi="es-419"/>
          </w:rPr>
          <w:t>3</w:t>
        </w:r>
        <w:r w:rsidR="00B51C9D" w:rsidRPr="00E27428">
          <w:rPr>
            <w:noProof/>
            <w:sz w:val="18"/>
            <w:szCs w:val="18"/>
            <w:lang w:bidi="es-419"/>
          </w:rPr>
          <w:t>/23</w:t>
        </w:r>
        <w:r w:rsidR="00B83ABD">
          <w:rPr>
            <w:noProof/>
            <w:sz w:val="18"/>
            <w:szCs w:val="18"/>
            <w:lang w:bidi="es-419"/>
          </w:rPr>
          <w:t>v</w:t>
        </w:r>
        <w:r w:rsidR="008A020E">
          <w:rPr>
            <w:noProof/>
            <w:sz w:val="18"/>
            <w:szCs w:val="18"/>
            <w:lang w:bidi="es-419"/>
          </w:rPr>
          <w:t>3</w:t>
        </w:r>
      </w:sdtContent>
    </w:sdt>
  </w:p>
  <w:p w14:paraId="09E289F9" w14:textId="77777777" w:rsidR="00153626" w:rsidRDefault="00153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08DD" w14:textId="77777777" w:rsidR="008A020E" w:rsidRDefault="008A0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E708" w14:textId="77777777" w:rsidR="006E6755" w:rsidRDefault="006E6755" w:rsidP="00153626">
      <w:pPr>
        <w:spacing w:after="0" w:line="240" w:lineRule="auto"/>
      </w:pPr>
      <w:r>
        <w:separator/>
      </w:r>
    </w:p>
  </w:footnote>
  <w:footnote w:type="continuationSeparator" w:id="0">
    <w:p w14:paraId="10056208" w14:textId="77777777" w:rsidR="006E6755" w:rsidRDefault="006E6755" w:rsidP="0015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5800" w14:textId="77777777" w:rsidR="008A020E" w:rsidRDefault="008A0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8677" w14:textId="6B91EE5B" w:rsidR="00153626" w:rsidRPr="008A020E" w:rsidRDefault="008A020E" w:rsidP="00D95E06">
    <w:pPr>
      <w:spacing w:line="240" w:lineRule="auto"/>
      <w:ind w:left="288"/>
      <w:rPr>
        <w:rFonts w:ascii="Comic Sans MS" w:hAnsi="Comic Sans MS"/>
        <w:b/>
        <w:bCs/>
        <w:color w:val="C00000"/>
        <w:sz w:val="32"/>
        <w:szCs w:val="32"/>
      </w:rPr>
    </w:pPr>
    <w:r>
      <w:rPr>
        <w:rFonts w:ascii="Arial" w:eastAsia="Arial" w:hAnsi="Arial" w:cs="Arial"/>
        <w:noProof/>
        <w:color w:val="0070C0"/>
        <w:sz w:val="36"/>
        <w:szCs w:val="36"/>
        <w:lang w:bidi="es-419"/>
      </w:rPr>
      <mc:AlternateContent>
        <mc:Choice Requires="wps">
          <w:drawing>
            <wp:anchor distT="0" distB="0" distL="114300" distR="114300" simplePos="0" relativeHeight="251659264" behindDoc="0" locked="0" layoutInCell="1" allowOverlap="1" wp14:anchorId="7C18DCA0" wp14:editId="1A12CE81">
              <wp:simplePos x="0" y="0"/>
              <wp:positionH relativeFrom="column">
                <wp:posOffset>-332105</wp:posOffset>
              </wp:positionH>
              <wp:positionV relativeFrom="paragraph">
                <wp:posOffset>-203982</wp:posOffset>
              </wp:positionV>
              <wp:extent cx="1398905" cy="484652"/>
              <wp:effectExtent l="0" t="0" r="0" b="0"/>
              <wp:wrapNone/>
              <wp:docPr id="1" name="Text Box 1"/>
              <wp:cNvGraphicFramePr/>
              <a:graphic xmlns:a="http://schemas.openxmlformats.org/drawingml/2006/main">
                <a:graphicData uri="http://schemas.microsoft.com/office/word/2010/wordprocessingShape">
                  <wps:wsp>
                    <wps:cNvSpPr txBox="1"/>
                    <wps:spPr>
                      <a:xfrm>
                        <a:off x="0" y="0"/>
                        <a:ext cx="1398905" cy="484652"/>
                      </a:xfrm>
                      <a:prstGeom prst="rect">
                        <a:avLst/>
                      </a:prstGeom>
                      <a:solidFill>
                        <a:schemeClr val="lt1"/>
                      </a:solidFill>
                      <a:ln w="6350">
                        <a:noFill/>
                      </a:ln>
                    </wps:spPr>
                    <wps:txbx>
                      <w:txbxContent>
                        <w:p w14:paraId="651C5499" w14:textId="264C7BA0" w:rsidR="008A020E" w:rsidRDefault="008A020E">
                          <w:r>
                            <w:rPr>
                              <w:noProof/>
                              <w:lang w:val="bg-BG" w:eastAsia="bg-BG"/>
                            </w:rPr>
                            <w:drawing>
                              <wp:inline distT="0" distB="0" distL="0" distR="0" wp14:anchorId="5F2F66A4" wp14:editId="2C1D8853">
                                <wp:extent cx="1227015" cy="367323"/>
                                <wp:effectExtent l="0" t="0" r="5080" b="1270"/>
                                <wp:docPr id="3" name="Picture 2" descr="CADRE_logo">
                                  <a:extLst xmlns:a="http://schemas.openxmlformats.org/drawingml/2006/main">
                                    <a:ext uri="{FF2B5EF4-FFF2-40B4-BE49-F238E27FC236}">
                                      <a16:creationId xmlns:a16="http://schemas.microsoft.com/office/drawing/2014/main" id="{23C1856C-7A1E-4176-B3D2-180BF2BC2C04}"/>
                                    </a:ext>
                                  </a:extLst>
                                </wp:docPr>
                                <wp:cNvGraphicFramePr/>
                                <a:graphic xmlns:a="http://schemas.openxmlformats.org/drawingml/2006/main">
                                  <a:graphicData uri="http://schemas.openxmlformats.org/drawingml/2006/picture">
                                    <pic:pic xmlns:pic="http://schemas.openxmlformats.org/drawingml/2006/picture">
                                      <pic:nvPicPr>
                                        <pic:cNvPr id="3" name="Picture 2" descr="CADRE_logo">
                                          <a:extLst>
                                            <a:ext uri="{FF2B5EF4-FFF2-40B4-BE49-F238E27FC236}">
                                              <a16:creationId xmlns:a16="http://schemas.microsoft.com/office/drawing/2014/main" id="{23C1856C-7A1E-4176-B3D2-180BF2BC2C04}"/>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1118" cy="4014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8DCA0" id="_x0000_t202" coordsize="21600,21600" o:spt="202" path="m,l,21600r21600,l21600,xe">
              <v:stroke joinstyle="miter"/>
              <v:path gradientshapeok="t" o:connecttype="rect"/>
            </v:shapetype>
            <v:shape id="Text Box 1" o:spid="_x0000_s1026" type="#_x0000_t202" style="position:absolute;left:0;text-align:left;margin-left:-26.15pt;margin-top:-16.05pt;width:110.15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ehLAIAAFQEAAAOAAAAZHJzL2Uyb0RvYy54bWysVEuP2jAQvlfqf7B8LwksUIgIK8qKqtJq&#13;&#10;dyW22rNxbBLJ8bi2IaG/vmMnPLrtqerFmfGMv3l9k8V9WytyFNZVoHM6HKSUCM2hqPQ+p99fN59m&#13;&#10;lDjPdMEUaJHTk3D0fvnxw6IxmRhBCaoQliCIdlljclp6b7IkcbwUNXMDMEKjUYKtmUfV7pPCsgbR&#13;&#10;a5WM0nSaNGALY4EL5/D2oTPSZcSXUnD/LKUTnqicYm4+njaeu3AmywXL9paZsuJ9GuwfsqhZpTHo&#13;&#10;BeqBeUYOtvoDqq64BQfSDzjUCUhZcRFrwGqG6btqtiUzItaCzXHm0ib3/2D503FrXizx7RdocYCh&#13;&#10;IY1xmcPLUE8rbR2+mClBO7bwdGmbaD3h4dHdfDZPJ5RwtI1n4+lkFGCS62tjnf8qoCZByKnFscRu&#13;&#10;seOj853r2SUEc6CqYlMpFZVABbFWlhwZDlH5mCOC/+alNGlyOr2bpBFYQ3jeISuNuVxrCpJvd21f&#13;&#10;6A6KE9ZvoaOGM3xTYZKPzPkXZpELWDLy2z/jIRVgEOglSkqwP/92H/xxRGilpEFu5dT9ODArKFHf&#13;&#10;NA5vPhyPAxmjMp58HqFiby27W4s+1GvAyoe4SYZHMfh7dRalhfoN12AVoqKJaY6xc+rP4tp3jMc1&#13;&#10;4mK1ik5IP8P8o94aHqBDp8MIXts3Zk0/J48TfoIzC1n2blydb3ipYXXwIKs4y9Dgrqt935G6kQ39&#13;&#10;moXduNWj1/VnsPwFAAD//wMAUEsDBBQABgAIAAAAIQB6BmBO5gAAAA8BAAAPAAAAZHJzL2Rvd25y&#13;&#10;ZXYueG1sTI9NT8MwDIbvSPyHyEhc0Jau3cbUNZ0QnxI3Vj7ELWtMW9E4VZO15d/jneBi2fLr1++T&#13;&#10;7SbbigF73zhSsJhHIJBKZxqqFLwWD7MNCB80Gd06QgU/6GGXn59lOjVupBcc9qESbEI+1QrqELpU&#13;&#10;Sl/WaLWfuw6Jd1+utzrw2FfS9Hpkc9vKOIrW0uqG+EOtO7ytsfzeH62Cz6vq49lPj29jskq6+6eh&#13;&#10;uH43hVKXF9PdlsvNFkTAKfxdwImB80POwQ7uSMaLVsFsFScs5SaJFyBOivWGEQ8KlssYZJ7J/xz5&#13;&#10;LwAAAP//AwBQSwECLQAUAAYACAAAACEAtoM4kv4AAADhAQAAEwAAAAAAAAAAAAAAAAAAAAAAW0Nv&#13;&#10;bnRlbnRfVHlwZXNdLnhtbFBLAQItABQABgAIAAAAIQA4/SH/1gAAAJQBAAALAAAAAAAAAAAAAAAA&#13;&#10;AC8BAABfcmVscy8ucmVsc1BLAQItABQABgAIAAAAIQDV/behLAIAAFQEAAAOAAAAAAAAAAAAAAAA&#13;&#10;AC4CAABkcnMvZTJvRG9jLnhtbFBLAQItABQABgAIAAAAIQB6BmBO5gAAAA8BAAAPAAAAAAAAAAAA&#13;&#10;AAAAAIYEAABkcnMvZG93bnJldi54bWxQSwUGAAAAAAQABADzAAAAmQUAAAAA&#13;&#10;" fillcolor="white [3201]" stroked="f" strokeweight=".5pt">
              <v:textbox>
                <w:txbxContent>
                  <w:p w14:paraId="651C5499" w14:textId="264C7BA0" w:rsidR="008A020E" w:rsidRDefault="008A020E">
                    <w:r>
                      <w:rPr>
                        <w:noProof/>
                        <w:lang w:val="bg-BG" w:eastAsia="bg-BG"/>
                      </w:rPr>
                      <w:drawing>
                        <wp:inline distT="0" distB="0" distL="0" distR="0" wp14:anchorId="5F2F66A4" wp14:editId="2C1D8853">
                          <wp:extent cx="1227015" cy="367323"/>
                          <wp:effectExtent l="0" t="0" r="5080" b="1270"/>
                          <wp:docPr id="3" name="Picture 2" descr="CADRE_logo">
                            <a:extLst xmlns:a="http://schemas.openxmlformats.org/drawingml/2006/main">
                              <a:ext uri="{FF2B5EF4-FFF2-40B4-BE49-F238E27FC236}">
                                <a16:creationId xmlns:a16="http://schemas.microsoft.com/office/drawing/2014/main" id="{23C1856C-7A1E-4176-B3D2-180BF2BC2C04}"/>
                              </a:ext>
                            </a:extLst>
                          </wp:docPr>
                          <wp:cNvGraphicFramePr/>
                          <a:graphic xmlns:a="http://schemas.openxmlformats.org/drawingml/2006/main">
                            <a:graphicData uri="http://schemas.openxmlformats.org/drawingml/2006/picture">
                              <pic:pic xmlns:pic="http://schemas.openxmlformats.org/drawingml/2006/picture">
                                <pic:nvPicPr>
                                  <pic:cNvPr id="3" name="Picture 2" descr="CADRE_logo">
                                    <a:extLst>
                                      <a:ext uri="{FF2B5EF4-FFF2-40B4-BE49-F238E27FC236}">
                                        <a16:creationId xmlns:a16="http://schemas.microsoft.com/office/drawing/2014/main" id="{23C1856C-7A1E-4176-B3D2-180BF2BC2C04}"/>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1118" cy="401481"/>
                                  </a:xfrm>
                                  <a:prstGeom prst="rect">
                                    <a:avLst/>
                                  </a:prstGeom>
                                  <a:noFill/>
                                  <a:ln>
                                    <a:noFill/>
                                  </a:ln>
                                </pic:spPr>
                              </pic:pic>
                            </a:graphicData>
                          </a:graphic>
                        </wp:inline>
                      </w:drawing>
                    </w:r>
                  </w:p>
                </w:txbxContent>
              </v:textbox>
            </v:shape>
          </w:pict>
        </mc:Fallback>
      </mc:AlternateContent>
    </w:r>
    <w:r w:rsidR="00D95E06" w:rsidRPr="009E5FCE">
      <w:rPr>
        <w:rFonts w:ascii="Arial" w:eastAsia="Arial" w:hAnsi="Arial" w:cs="Arial"/>
        <w:color w:val="0070C0"/>
        <w:sz w:val="36"/>
        <w:szCs w:val="36"/>
        <w:lang w:bidi="es-419"/>
      </w:rPr>
      <w:t xml:space="preserve">    </w:t>
    </w:r>
    <w:r>
      <w:rPr>
        <w:rFonts w:ascii="Arial" w:eastAsia="Arial" w:hAnsi="Arial" w:cs="Arial"/>
        <w:color w:val="0070C0"/>
        <w:sz w:val="36"/>
        <w:szCs w:val="36"/>
        <w:lang w:bidi="es-419"/>
      </w:rPr>
      <w:t xml:space="preserve">           </w:t>
    </w:r>
    <w:r w:rsidR="00D95E06" w:rsidRPr="008A020E">
      <w:rPr>
        <w:rFonts w:ascii="Arial" w:eastAsia="Arial" w:hAnsi="Arial" w:cs="Arial"/>
        <w:b/>
        <w:color w:val="0070C0"/>
        <w:sz w:val="32"/>
        <w:szCs w:val="32"/>
        <w:lang w:bidi="es-419"/>
      </w:rPr>
      <w:t xml:space="preserve">Derechos de los inmigrantes de California ante catástrofes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4F6A" w14:textId="77777777" w:rsidR="008A020E" w:rsidRDefault="008A0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40B"/>
    <w:multiLevelType w:val="multilevel"/>
    <w:tmpl w:val="7328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51FF9"/>
    <w:multiLevelType w:val="hybridMultilevel"/>
    <w:tmpl w:val="126C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0D2191"/>
    <w:multiLevelType w:val="multilevel"/>
    <w:tmpl w:val="BE3A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A71CC"/>
    <w:multiLevelType w:val="hybridMultilevel"/>
    <w:tmpl w:val="F4FE4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EF6DAD"/>
    <w:multiLevelType w:val="hybridMultilevel"/>
    <w:tmpl w:val="A12C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1926214">
    <w:abstractNumId w:val="4"/>
  </w:num>
  <w:num w:numId="2" w16cid:durableId="1112818642">
    <w:abstractNumId w:val="0"/>
  </w:num>
  <w:num w:numId="3" w16cid:durableId="779034970">
    <w:abstractNumId w:val="1"/>
  </w:num>
  <w:num w:numId="4" w16cid:durableId="1550729295">
    <w:abstractNumId w:val="2"/>
  </w:num>
  <w:num w:numId="5" w16cid:durableId="1243754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D6"/>
    <w:rsid w:val="00006869"/>
    <w:rsid w:val="00013F5A"/>
    <w:rsid w:val="00045B9E"/>
    <w:rsid w:val="0007638E"/>
    <w:rsid w:val="0007699A"/>
    <w:rsid w:val="00083A3E"/>
    <w:rsid w:val="00146FC7"/>
    <w:rsid w:val="00153626"/>
    <w:rsid w:val="001861D2"/>
    <w:rsid w:val="001948BA"/>
    <w:rsid w:val="00195C0C"/>
    <w:rsid w:val="001978CE"/>
    <w:rsid w:val="001B3066"/>
    <w:rsid w:val="001C6358"/>
    <w:rsid w:val="00204D9F"/>
    <w:rsid w:val="00205C7C"/>
    <w:rsid w:val="0022546F"/>
    <w:rsid w:val="00260AAD"/>
    <w:rsid w:val="00272DB5"/>
    <w:rsid w:val="00273F78"/>
    <w:rsid w:val="0029319B"/>
    <w:rsid w:val="002A0FF2"/>
    <w:rsid w:val="002E58C7"/>
    <w:rsid w:val="002F5CAB"/>
    <w:rsid w:val="00311333"/>
    <w:rsid w:val="00340894"/>
    <w:rsid w:val="00344545"/>
    <w:rsid w:val="00350E53"/>
    <w:rsid w:val="003A773C"/>
    <w:rsid w:val="00427F80"/>
    <w:rsid w:val="004502D0"/>
    <w:rsid w:val="004F5EA5"/>
    <w:rsid w:val="005616A3"/>
    <w:rsid w:val="00597873"/>
    <w:rsid w:val="005C4A32"/>
    <w:rsid w:val="00601FD9"/>
    <w:rsid w:val="00602A1F"/>
    <w:rsid w:val="00635511"/>
    <w:rsid w:val="00641811"/>
    <w:rsid w:val="0065567D"/>
    <w:rsid w:val="00681E98"/>
    <w:rsid w:val="006841F3"/>
    <w:rsid w:val="006A24A7"/>
    <w:rsid w:val="006E6755"/>
    <w:rsid w:val="00715081"/>
    <w:rsid w:val="00725AE8"/>
    <w:rsid w:val="0073135D"/>
    <w:rsid w:val="00731697"/>
    <w:rsid w:val="00754B2B"/>
    <w:rsid w:val="00756D75"/>
    <w:rsid w:val="00776A9C"/>
    <w:rsid w:val="007A7853"/>
    <w:rsid w:val="007B730C"/>
    <w:rsid w:val="007F548E"/>
    <w:rsid w:val="00841609"/>
    <w:rsid w:val="00861B18"/>
    <w:rsid w:val="008763FF"/>
    <w:rsid w:val="0087776D"/>
    <w:rsid w:val="008A0104"/>
    <w:rsid w:val="008A020E"/>
    <w:rsid w:val="008A0FD6"/>
    <w:rsid w:val="008B022C"/>
    <w:rsid w:val="008B6331"/>
    <w:rsid w:val="008E1962"/>
    <w:rsid w:val="008F231D"/>
    <w:rsid w:val="00915F94"/>
    <w:rsid w:val="0097225A"/>
    <w:rsid w:val="009B6850"/>
    <w:rsid w:val="009C543D"/>
    <w:rsid w:val="009E4EF4"/>
    <w:rsid w:val="009E5FCE"/>
    <w:rsid w:val="00A37579"/>
    <w:rsid w:val="00A375A6"/>
    <w:rsid w:val="00A512FC"/>
    <w:rsid w:val="00A6718C"/>
    <w:rsid w:val="00AA05A5"/>
    <w:rsid w:val="00B2586C"/>
    <w:rsid w:val="00B43F49"/>
    <w:rsid w:val="00B51C9D"/>
    <w:rsid w:val="00B55550"/>
    <w:rsid w:val="00B83ABD"/>
    <w:rsid w:val="00C101DE"/>
    <w:rsid w:val="00C20D19"/>
    <w:rsid w:val="00C260FE"/>
    <w:rsid w:val="00C804F6"/>
    <w:rsid w:val="00C8482F"/>
    <w:rsid w:val="00D4644B"/>
    <w:rsid w:val="00D55FEF"/>
    <w:rsid w:val="00D6726F"/>
    <w:rsid w:val="00D834AA"/>
    <w:rsid w:val="00D95E06"/>
    <w:rsid w:val="00DA73C0"/>
    <w:rsid w:val="00E00574"/>
    <w:rsid w:val="00E27428"/>
    <w:rsid w:val="00E721B2"/>
    <w:rsid w:val="00E848B1"/>
    <w:rsid w:val="00EB3969"/>
    <w:rsid w:val="00EC1046"/>
    <w:rsid w:val="00ED739C"/>
    <w:rsid w:val="00EF74D2"/>
    <w:rsid w:val="00F1292F"/>
    <w:rsid w:val="00F61667"/>
    <w:rsid w:val="00FF1A19"/>
    <w:rsid w:val="00FF7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0CEC"/>
  <w15:chartTrackingRefBased/>
  <w15:docId w15:val="{ED5310FC-0F7F-498A-89E3-63B08C99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D6"/>
    <w:pPr>
      <w:ind w:left="720"/>
      <w:contextualSpacing/>
    </w:pPr>
  </w:style>
  <w:style w:type="character" w:styleId="Hyperlink">
    <w:name w:val="Hyperlink"/>
    <w:basedOn w:val="DefaultParagraphFont"/>
    <w:uiPriority w:val="99"/>
    <w:unhideWhenUsed/>
    <w:rsid w:val="008A0FD6"/>
    <w:rPr>
      <w:color w:val="0563C1" w:themeColor="hyperlink"/>
      <w:u w:val="single"/>
    </w:rPr>
  </w:style>
  <w:style w:type="character" w:customStyle="1" w:styleId="UnresolvedMention1">
    <w:name w:val="Unresolved Mention1"/>
    <w:basedOn w:val="DefaultParagraphFont"/>
    <w:uiPriority w:val="99"/>
    <w:semiHidden/>
    <w:unhideWhenUsed/>
    <w:rsid w:val="008A0FD6"/>
    <w:rPr>
      <w:color w:val="605E5C"/>
      <w:shd w:val="clear" w:color="auto" w:fill="E1DFDD"/>
    </w:rPr>
  </w:style>
  <w:style w:type="paragraph" w:styleId="NormalWeb">
    <w:name w:val="Normal (Web)"/>
    <w:basedOn w:val="Normal"/>
    <w:uiPriority w:val="99"/>
    <w:unhideWhenUsed/>
    <w:rsid w:val="001536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3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626"/>
  </w:style>
  <w:style w:type="paragraph" w:styleId="Footer">
    <w:name w:val="footer"/>
    <w:basedOn w:val="Normal"/>
    <w:link w:val="FooterChar"/>
    <w:uiPriority w:val="99"/>
    <w:unhideWhenUsed/>
    <w:rsid w:val="0015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626"/>
  </w:style>
  <w:style w:type="character" w:styleId="FollowedHyperlink">
    <w:name w:val="FollowedHyperlink"/>
    <w:basedOn w:val="DefaultParagraphFont"/>
    <w:uiPriority w:val="99"/>
    <w:semiHidden/>
    <w:unhideWhenUsed/>
    <w:rsid w:val="009B6850"/>
    <w:rPr>
      <w:color w:val="954F72" w:themeColor="followedHyperlink"/>
      <w:u w:val="single"/>
    </w:rPr>
  </w:style>
  <w:style w:type="paragraph" w:styleId="Revision">
    <w:name w:val="Revision"/>
    <w:hidden/>
    <w:uiPriority w:val="99"/>
    <w:semiHidden/>
    <w:rsid w:val="00EC10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2375">
      <w:bodyDiv w:val="1"/>
      <w:marLeft w:val="0"/>
      <w:marRight w:val="0"/>
      <w:marTop w:val="0"/>
      <w:marBottom w:val="0"/>
      <w:divBdr>
        <w:top w:val="none" w:sz="0" w:space="0" w:color="auto"/>
        <w:left w:val="none" w:sz="0" w:space="0" w:color="auto"/>
        <w:bottom w:val="none" w:sz="0" w:space="0" w:color="auto"/>
        <w:right w:val="none" w:sz="0" w:space="0" w:color="auto"/>
      </w:divBdr>
    </w:div>
    <w:div w:id="20597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billTextClient.xhtml?bill_id=200720080AB2327" TargetMode="External"/><Relationship Id="rId13" Type="http://schemas.openxmlformats.org/officeDocument/2006/relationships/hyperlink" Target="https://Immigrantinfo.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ice.gov/about-ice/ero/protected-areas" TargetMode="External"/><Relationship Id="rId12" Type="http://schemas.openxmlformats.org/officeDocument/2006/relationships/hyperlink" Target="https://cadresv.org/earthquak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ema.gov/sites/default/files/2020-10/fema_undocumented-immigrants-disaster-assistance_english_flyer.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ijustice.org/find-your-local-rr-hotlin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Public%20Charge%20Safe%20to%20Use%20List%20-%20Spanish" TargetMode="External"/><Relationship Id="rId23" Type="http://schemas.openxmlformats.org/officeDocument/2006/relationships/fontTable" Target="fontTable.xml"/><Relationship Id="rId10" Type="http://schemas.openxmlformats.org/officeDocument/2006/relationships/hyperlink" Target="https://immigrantinfo.org/wp-content/uploads/oir-legal.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ederalregister.gov/documents/2022/09/09/2022-18867/public-charge-ground-of-inadmissibility" TargetMode="External"/><Relationship Id="rId14" Type="http://schemas.openxmlformats.org/officeDocument/2006/relationships/hyperlink" Target="https://www.ilrc.org/sites/default/files/resources/pc_safe_to_use_list_may_2021.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744</Words>
  <Characters>4893</Characters>
  <Application>Microsoft Office Word</Application>
  <DocSecurity>0</DocSecurity>
  <Lines>101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Collins</dc:creator>
  <cp:keywords/>
  <dc:description/>
  <cp:lastModifiedBy>Marsha Hovey</cp:lastModifiedBy>
  <cp:revision>12</cp:revision>
  <cp:lastPrinted>2023-02-03T02:32:00Z</cp:lastPrinted>
  <dcterms:created xsi:type="dcterms:W3CDTF">2023-02-03T20:50:00Z</dcterms:created>
  <dcterms:modified xsi:type="dcterms:W3CDTF">2023-02-11T23:34:00Z</dcterms:modified>
</cp:coreProperties>
</file>